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493E9B">
      <w:pPr>
        <w:pStyle w:val="GvdeMetni"/>
        <w:tabs>
          <w:tab w:val="left" w:leader="dot" w:pos="7365"/>
        </w:tabs>
        <w:spacing w:before="198"/>
        <w:ind w:right="113"/>
        <w:jc w:val="both"/>
        <w:rPr>
          <w:sz w:val="22"/>
          <w:szCs w:val="22"/>
        </w:rPr>
      </w:pP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tarafta</w:t>
      </w:r>
      <w:proofErr w:type="spellEnd"/>
      <w:r w:rsidRPr="00CC7A13">
        <w:rPr>
          <w:sz w:val="22"/>
          <w:szCs w:val="22"/>
        </w:rPr>
        <w:t xml:space="preserve">, </w:t>
      </w:r>
      <w:proofErr w:type="spellStart"/>
      <w:r w:rsidRPr="00CC7A13">
        <w:rPr>
          <w:sz w:val="22"/>
          <w:szCs w:val="22"/>
        </w:rPr>
        <w:t>Musalla</w:t>
      </w:r>
      <w:proofErr w:type="spellEnd"/>
      <w:r w:rsidRPr="00CC7A13">
        <w:rPr>
          <w:sz w:val="22"/>
          <w:szCs w:val="22"/>
        </w:rPr>
        <w:t xml:space="preserve"> </w:t>
      </w:r>
      <w:proofErr w:type="spellStart"/>
      <w:r w:rsidRPr="00CC7A13">
        <w:rPr>
          <w:sz w:val="22"/>
          <w:szCs w:val="22"/>
        </w:rPr>
        <w:t>Bağları</w:t>
      </w:r>
      <w:proofErr w:type="spellEnd"/>
      <w:r w:rsidRPr="00CC7A13">
        <w:rPr>
          <w:sz w:val="22"/>
          <w:szCs w:val="22"/>
        </w:rPr>
        <w:t xml:space="preserve"> </w:t>
      </w:r>
      <w:proofErr w:type="spellStart"/>
      <w:r w:rsidRPr="00CC7A13">
        <w:rPr>
          <w:sz w:val="22"/>
          <w:szCs w:val="22"/>
        </w:rPr>
        <w:t>Mahallesi</w:t>
      </w:r>
      <w:proofErr w:type="spellEnd"/>
      <w:r w:rsidRPr="00CC7A13">
        <w:rPr>
          <w:sz w:val="22"/>
          <w:szCs w:val="22"/>
        </w:rPr>
        <w:t xml:space="preserve">, </w:t>
      </w:r>
      <w:proofErr w:type="spellStart"/>
      <w:r w:rsidRPr="00CC7A13">
        <w:rPr>
          <w:sz w:val="22"/>
          <w:szCs w:val="22"/>
        </w:rPr>
        <w:t>Nalçacı</w:t>
      </w:r>
      <w:proofErr w:type="spellEnd"/>
      <w:r w:rsidRPr="00CC7A13">
        <w:rPr>
          <w:sz w:val="22"/>
          <w:szCs w:val="22"/>
        </w:rPr>
        <w:t xml:space="preserve"> </w:t>
      </w:r>
      <w:proofErr w:type="spellStart"/>
      <w:r w:rsidRPr="00CC7A13">
        <w:rPr>
          <w:sz w:val="22"/>
          <w:szCs w:val="22"/>
        </w:rPr>
        <w:t>Caddesi</w:t>
      </w:r>
      <w:proofErr w:type="spellEnd"/>
      <w:r w:rsidRPr="00CC7A13">
        <w:rPr>
          <w:sz w:val="22"/>
          <w:szCs w:val="22"/>
        </w:rPr>
        <w:t xml:space="preserve">, No:110, </w:t>
      </w:r>
      <w:proofErr w:type="spellStart"/>
      <w:r w:rsidRPr="00CC7A13">
        <w:rPr>
          <w:sz w:val="22"/>
          <w:szCs w:val="22"/>
        </w:rPr>
        <w:t>Selçuklu</w:t>
      </w:r>
      <w:proofErr w:type="spellEnd"/>
      <w:r w:rsidRPr="00CC7A13">
        <w:rPr>
          <w:sz w:val="22"/>
          <w:szCs w:val="22"/>
        </w:rPr>
        <w:t xml:space="preserve">, Konya </w:t>
      </w:r>
      <w:proofErr w:type="spellStart"/>
      <w:r w:rsidRPr="00CC7A13">
        <w:rPr>
          <w:sz w:val="22"/>
          <w:szCs w:val="22"/>
        </w:rPr>
        <w:t>adresinde</w:t>
      </w:r>
      <w:proofErr w:type="spellEnd"/>
      <w:r w:rsidRPr="00CC7A13">
        <w:rPr>
          <w:sz w:val="22"/>
          <w:szCs w:val="22"/>
        </w:rPr>
        <w:t xml:space="preserve"> </w:t>
      </w:r>
      <w:proofErr w:type="spellStart"/>
      <w:r w:rsidRPr="00CC7A13">
        <w:rPr>
          <w:sz w:val="22"/>
          <w:szCs w:val="22"/>
        </w:rPr>
        <w:t>faaliyet</w:t>
      </w:r>
      <w:proofErr w:type="spellEnd"/>
      <w:r w:rsidRPr="00CC7A13">
        <w:rPr>
          <w:sz w:val="22"/>
          <w:szCs w:val="22"/>
        </w:rPr>
        <w:t xml:space="preserve"> </w:t>
      </w:r>
      <w:proofErr w:type="spellStart"/>
      <w:r w:rsidRPr="00CC7A13">
        <w:rPr>
          <w:sz w:val="22"/>
          <w:szCs w:val="22"/>
        </w:rPr>
        <w:t>gösteren</w:t>
      </w:r>
      <w:proofErr w:type="spellEnd"/>
      <w:r w:rsidRPr="00CC7A13">
        <w:rPr>
          <w:sz w:val="22"/>
          <w:szCs w:val="22"/>
        </w:rPr>
        <w:t xml:space="preserve"> </w:t>
      </w:r>
      <w:r w:rsidRPr="00CC7A13">
        <w:rPr>
          <w:b/>
          <w:sz w:val="22"/>
          <w:szCs w:val="22"/>
        </w:rPr>
        <w:t xml:space="preserve">ENERYA KONYA GAZ DAĞITIM A.Ş. </w:t>
      </w:r>
      <w:r w:rsidRPr="00CC7A13">
        <w:rPr>
          <w:sz w:val="22"/>
          <w:szCs w:val="22"/>
        </w:rPr>
        <w:t>(</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“ENERYA”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diğer</w:t>
      </w:r>
      <w:proofErr w:type="spellEnd"/>
      <w:r w:rsidRPr="00CC7A13">
        <w:rPr>
          <w:spacing w:val="19"/>
          <w:sz w:val="22"/>
          <w:szCs w:val="22"/>
        </w:rPr>
        <w:t xml:space="preserve"> </w:t>
      </w:r>
      <w:proofErr w:type="spellStart"/>
      <w:r w:rsidRPr="00CC7A13">
        <w:rPr>
          <w:sz w:val="22"/>
          <w:szCs w:val="22"/>
        </w:rPr>
        <w:t>tarafta</w:t>
      </w:r>
      <w:proofErr w:type="spellEnd"/>
      <w:r w:rsidRPr="00CC7A13">
        <w:rPr>
          <w:sz w:val="22"/>
          <w:szCs w:val="22"/>
        </w:rPr>
        <w:tab/>
      </w:r>
      <w:proofErr w:type="spellStart"/>
      <w:r w:rsidRPr="00CC7A13">
        <w:rPr>
          <w:sz w:val="22"/>
          <w:szCs w:val="22"/>
        </w:rPr>
        <w:t>adresinde</w:t>
      </w:r>
      <w:proofErr w:type="spellEnd"/>
      <w:r w:rsidRPr="00CC7A13">
        <w:rPr>
          <w:spacing w:val="13"/>
          <w:sz w:val="22"/>
          <w:szCs w:val="22"/>
        </w:rPr>
        <w:t xml:space="preserve"> </w:t>
      </w:r>
      <w:proofErr w:type="spellStart"/>
      <w:r w:rsidRPr="00CC7A13">
        <w:rPr>
          <w:sz w:val="22"/>
          <w:szCs w:val="22"/>
        </w:rPr>
        <w:t>faaliyet</w:t>
      </w:r>
      <w:proofErr w:type="spellEnd"/>
    </w:p>
    <w:p w:rsidR="00145087" w:rsidRPr="00CC7A13" w:rsidRDefault="00493E9B">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CC7A13">
        <w:rPr>
          <w:spacing w:val="1"/>
          <w:sz w:val="22"/>
          <w:szCs w:val="22"/>
        </w:rPr>
        <w:t>E</w:t>
      </w:r>
      <w:r w:rsidRPr="00CC7A13">
        <w:rPr>
          <w:spacing w:val="-1"/>
          <w:sz w:val="22"/>
          <w:szCs w:val="22"/>
        </w:rPr>
        <w:t>N</w:t>
      </w:r>
      <w:r w:rsidRPr="00CC7A13">
        <w:rPr>
          <w:spacing w:val="-6"/>
          <w:w w:val="32"/>
          <w:sz w:val="22"/>
          <w:szCs w:val="22"/>
        </w:rPr>
        <w:t>I</w:t>
      </w:r>
      <w:r w:rsidRPr="00CC7A13">
        <w:rPr>
          <w:spacing w:val="-2"/>
          <w:w w:val="32"/>
          <w:sz w:val="22"/>
          <w:szCs w:val="22"/>
        </w:rPr>
        <w:t>N</w:t>
      </w:r>
      <w:r w:rsidRPr="00CC7A13">
        <w:rPr>
          <w:spacing w:val="-1"/>
          <w:sz w:val="22"/>
          <w:szCs w:val="22"/>
        </w:rPr>
        <w:t>C</w:t>
      </w:r>
      <w:r w:rsidRPr="00CC7A13">
        <w:rPr>
          <w:spacing w:val="-6"/>
          <w:w w:val="32"/>
          <w:sz w:val="22"/>
          <w:szCs w:val="22"/>
        </w:rPr>
        <w:t>I</w:t>
      </w:r>
      <w:r w:rsidRPr="00CC7A13">
        <w:rPr>
          <w:spacing w:val="-2"/>
          <w:w w:val="32"/>
          <w:sz w:val="22"/>
          <w:szCs w:val="22"/>
        </w:rPr>
        <w:t>N</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p>
    <w:p w:rsidR="00145087" w:rsidRPr="00CC7A13" w:rsidRDefault="00493E9B">
      <w:pPr>
        <w:pStyle w:val="GvdeMetni"/>
        <w:spacing w:before="2"/>
        <w:ind w:right="113"/>
        <w:jc w:val="both"/>
        <w:rPr>
          <w:sz w:val="22"/>
          <w:szCs w:val="22"/>
        </w:rPr>
      </w:pP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YÜKLEN</w:t>
      </w:r>
      <w:r w:rsidRPr="00CC7A13">
        <w:rPr>
          <w:w w:val="32"/>
          <w:sz w:val="22"/>
          <w:szCs w:val="22"/>
        </w:rPr>
        <w:t>IN</w:t>
      </w:r>
      <w:r w:rsidRPr="00CC7A13">
        <w:rPr>
          <w:sz w:val="22"/>
          <w:szCs w:val="22"/>
        </w:rPr>
        <w:t>C</w:t>
      </w:r>
      <w:r w:rsidRPr="00CC7A13">
        <w:rPr>
          <w:w w:val="32"/>
          <w:sz w:val="22"/>
          <w:szCs w:val="22"/>
        </w:rPr>
        <w:t>IN</w:t>
      </w:r>
      <w:r w:rsidRPr="00CC7A13">
        <w:rPr>
          <w:sz w:val="22"/>
          <w:szCs w:val="22"/>
        </w:rPr>
        <w:t>’nin</w:t>
      </w:r>
      <w:proofErr w:type="spellEnd"/>
      <w:r w:rsidRPr="00CC7A13">
        <w:rPr>
          <w:sz w:val="22"/>
          <w:szCs w:val="22"/>
        </w:rPr>
        <w:t xml:space="preserve">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r w:rsidRPr="00CC7A13">
        <w:tab/>
        <w:t xml:space="preserve">Enerya Konya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145087" w:rsidRPr="00CC7A13" w:rsidRDefault="00493E9B">
      <w:pPr>
        <w:pStyle w:val="ListeParagraf"/>
        <w:numPr>
          <w:ilvl w:val="2"/>
          <w:numId w:val="4"/>
        </w:numPr>
        <w:tabs>
          <w:tab w:val="left" w:pos="1572"/>
          <w:tab w:val="left" w:pos="3981"/>
          <w:tab w:val="left" w:pos="4408"/>
        </w:tabs>
        <w:spacing w:before="1" w:line="280" w:lineRule="exact"/>
        <w:ind w:hanging="284"/>
      </w:pPr>
      <w:proofErr w:type="spellStart"/>
      <w:r w:rsidRPr="00CC7A13">
        <w:t>Adresi</w:t>
      </w:r>
      <w:proofErr w:type="spellEnd"/>
      <w:r w:rsidRPr="00CC7A13">
        <w:tab/>
        <w:t>:</w:t>
      </w:r>
      <w:r w:rsidRPr="00CC7A13">
        <w:tab/>
      </w:r>
      <w:proofErr w:type="spellStart"/>
      <w:r w:rsidRPr="00CC7A13">
        <w:t>Musalla</w:t>
      </w:r>
      <w:proofErr w:type="spellEnd"/>
      <w:r w:rsidRPr="00CC7A13">
        <w:t xml:space="preserve"> </w:t>
      </w:r>
      <w:proofErr w:type="spellStart"/>
      <w:r w:rsidRPr="00CC7A13">
        <w:t>Bağları</w:t>
      </w:r>
      <w:proofErr w:type="spellEnd"/>
      <w:r w:rsidRPr="00CC7A13">
        <w:t xml:space="preserve"> </w:t>
      </w:r>
      <w:proofErr w:type="spellStart"/>
      <w:r w:rsidRPr="00CC7A13">
        <w:t>Mahallesi</w:t>
      </w:r>
      <w:proofErr w:type="spellEnd"/>
      <w:r w:rsidRPr="00CC7A13">
        <w:t xml:space="preserve">, </w:t>
      </w:r>
      <w:proofErr w:type="spellStart"/>
      <w:r w:rsidRPr="00CC7A13">
        <w:t>Nalçacı</w:t>
      </w:r>
      <w:proofErr w:type="spellEnd"/>
      <w:r w:rsidRPr="00CC7A13">
        <w:rPr>
          <w:spacing w:val="13"/>
        </w:rPr>
        <w:t xml:space="preserve"> </w:t>
      </w:r>
      <w:proofErr w:type="spellStart"/>
      <w:r w:rsidRPr="00CC7A13">
        <w:t>Caddesi</w:t>
      </w:r>
      <w:proofErr w:type="spellEnd"/>
      <w:r w:rsidRPr="00CC7A13">
        <w:t>,</w:t>
      </w:r>
    </w:p>
    <w:p w:rsidR="00145087" w:rsidRPr="00CC7A13" w:rsidRDefault="00493E9B">
      <w:pPr>
        <w:pStyle w:val="GvdeMetni"/>
        <w:spacing w:line="280" w:lineRule="exact"/>
        <w:ind w:left="4408"/>
        <w:rPr>
          <w:sz w:val="22"/>
          <w:szCs w:val="22"/>
        </w:rPr>
      </w:pPr>
      <w:r w:rsidRPr="00CC7A13">
        <w:rPr>
          <w:sz w:val="22"/>
          <w:szCs w:val="22"/>
        </w:rPr>
        <w:t>No</w:t>
      </w:r>
      <w:proofErr w:type="gramStart"/>
      <w:r w:rsidRPr="00CC7A13">
        <w:rPr>
          <w:sz w:val="22"/>
          <w:szCs w:val="22"/>
        </w:rPr>
        <w:t>:110</w:t>
      </w:r>
      <w:proofErr w:type="gramEnd"/>
      <w:r w:rsidRPr="00CC7A13">
        <w:rPr>
          <w:sz w:val="22"/>
          <w:szCs w:val="22"/>
        </w:rPr>
        <w:t xml:space="preserve">, </w:t>
      </w:r>
      <w:proofErr w:type="spellStart"/>
      <w:r w:rsidRPr="00CC7A13">
        <w:rPr>
          <w:sz w:val="22"/>
          <w:szCs w:val="22"/>
        </w:rPr>
        <w:t>Selçuklu</w:t>
      </w:r>
      <w:proofErr w:type="spellEnd"/>
      <w:r w:rsidRPr="00CC7A13">
        <w:rPr>
          <w:sz w:val="22"/>
          <w:szCs w:val="22"/>
        </w:rPr>
        <w:t>, Konya</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r w:rsidRPr="00CC7A13">
        <w:tab/>
        <w:t>Selçuk V.D. 389 045</w:t>
      </w:r>
      <w:r w:rsidRPr="00CC7A13">
        <w:rPr>
          <w:spacing w:val="-3"/>
        </w:rPr>
        <w:t xml:space="preserve"> </w:t>
      </w:r>
      <w:r w:rsidRPr="00CC7A13">
        <w:t>2544</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Pr="00CC7A13">
        <w:rPr>
          <w:sz w:val="22"/>
          <w:szCs w:val="22"/>
        </w:rPr>
        <w:t>No</w:t>
      </w:r>
      <w:r w:rsidRPr="00CC7A13">
        <w:rPr>
          <w:sz w:val="22"/>
          <w:szCs w:val="22"/>
        </w:rPr>
        <w:tab/>
        <w:t>:</w:t>
      </w:r>
      <w:r w:rsidRPr="00CC7A13">
        <w:rPr>
          <w:sz w:val="22"/>
          <w:szCs w:val="22"/>
        </w:rPr>
        <w:tab/>
        <w:t>(332) 221</w:t>
      </w:r>
      <w:r w:rsidRPr="00CC7A13">
        <w:rPr>
          <w:spacing w:val="-3"/>
          <w:sz w:val="22"/>
          <w:szCs w:val="22"/>
        </w:rPr>
        <w:t xml:space="preserve"> </w:t>
      </w:r>
      <w:r w:rsidRPr="00CC7A13">
        <w:rPr>
          <w:sz w:val="22"/>
          <w:szCs w:val="22"/>
        </w:rPr>
        <w:t>5460</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t>(332) 235</w:t>
      </w:r>
      <w:r w:rsidRPr="00CC7A13">
        <w:rPr>
          <w:spacing w:val="-3"/>
          <w:sz w:val="22"/>
          <w:szCs w:val="22"/>
        </w:rPr>
        <w:t xml:space="preserve"> </w:t>
      </w:r>
      <w:r w:rsidRPr="00CC7A13">
        <w:rPr>
          <w:sz w:val="22"/>
          <w:szCs w:val="22"/>
        </w:rPr>
        <w:t>1033</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r w:rsidRPr="00CC7A13">
          <w:rPr>
            <w:sz w:val="22"/>
            <w:szCs w:val="22"/>
          </w:rPr>
          <w:t>enerya.konya@hs02.kep.tr</w:t>
        </w:r>
      </w:hyperlink>
    </w:p>
    <w:p w:rsidR="00145087" w:rsidRPr="00CC7A13" w:rsidRDefault="00145087">
      <w:pPr>
        <w:pStyle w:val="GvdeMetni"/>
        <w:spacing w:before="3"/>
        <w:ind w:left="0"/>
        <w:rPr>
          <w:sz w:val="22"/>
          <w:szCs w:val="22"/>
        </w:rPr>
      </w:pPr>
    </w:p>
    <w:p w:rsidR="00145087" w:rsidRPr="00CC7A13" w:rsidRDefault="00493E9B">
      <w:pPr>
        <w:pStyle w:val="ListeParagraf"/>
        <w:numPr>
          <w:ilvl w:val="1"/>
          <w:numId w:val="4"/>
        </w:numPr>
        <w:tabs>
          <w:tab w:val="left" w:pos="1289"/>
        </w:tabs>
        <w:spacing w:before="1"/>
      </w:pPr>
      <w:proofErr w:type="spellStart"/>
      <w:r w:rsidRPr="00CC7A13">
        <w:rPr>
          <w:spacing w:val="2"/>
        </w:rPr>
        <w:t>Y</w:t>
      </w:r>
      <w:r w:rsidRPr="00CC7A13">
        <w:rPr>
          <w:spacing w:val="-2"/>
        </w:rPr>
        <w:t>Ü</w:t>
      </w:r>
      <w:r w:rsidRPr="00CC7A13">
        <w:rPr>
          <w:spacing w:val="2"/>
        </w:rPr>
        <w:t>K</w:t>
      </w:r>
      <w:r w:rsidRPr="00CC7A13">
        <w:t>L</w:t>
      </w:r>
      <w:r w:rsidRPr="00CC7A13">
        <w:rPr>
          <w:spacing w:val="1"/>
        </w:rPr>
        <w:t>E</w:t>
      </w:r>
      <w:r w:rsidRPr="00CC7A13">
        <w:rPr>
          <w:spacing w:val="-1"/>
        </w:rPr>
        <w:t>N</w:t>
      </w:r>
      <w:r w:rsidRPr="00CC7A13">
        <w:rPr>
          <w:spacing w:val="-6"/>
          <w:w w:val="32"/>
        </w:rPr>
        <w:t>I</w:t>
      </w:r>
      <w:r w:rsidRPr="00CC7A13">
        <w:rPr>
          <w:spacing w:val="-2"/>
          <w:w w:val="32"/>
        </w:rPr>
        <w:t>N</w:t>
      </w:r>
      <w:r w:rsidRPr="00CC7A13">
        <w:rPr>
          <w:spacing w:val="-1"/>
        </w:rPr>
        <w:t>C</w:t>
      </w:r>
      <w:r w:rsidRPr="00CC7A13">
        <w:rPr>
          <w:spacing w:val="-6"/>
          <w:w w:val="32"/>
        </w:rPr>
        <w:t>I</w:t>
      </w:r>
      <w:r w:rsidRPr="00CC7A13">
        <w:rPr>
          <w:spacing w:val="-2"/>
          <w:w w:val="32"/>
        </w:rPr>
        <w:t>N</w:t>
      </w:r>
      <w:r w:rsidRPr="00CC7A13">
        <w:rPr>
          <w:spacing w:val="-1"/>
        </w:rPr>
        <w:t>’</w:t>
      </w:r>
      <w:r w:rsidRPr="00CC7A13">
        <w:t>nin</w:t>
      </w:r>
      <w:proofErr w:type="spellEnd"/>
      <w:r w:rsidRPr="00CC7A13">
        <w:t>:</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Pr="0081274A">
        <w:rPr>
          <w:rFonts w:eastAsia="Times New Roman" w:cs="Times New Roman"/>
          <w:lang w:val="tr-TR"/>
        </w:rPr>
        <w:t xml:space="preserve">01.07.2021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145087" w:rsidRDefault="00493E9B" w:rsidP="00D54A21">
      <w:pPr>
        <w:pStyle w:val="GvdeMetni"/>
        <w:spacing w:before="199"/>
        <w:ind w:right="114"/>
        <w:jc w:val="both"/>
        <w:rPr>
          <w:sz w:val="22"/>
          <w:szCs w:val="22"/>
        </w:rPr>
      </w:pPr>
      <w:r w:rsidRPr="00CC7A13">
        <w:rPr>
          <w:b/>
          <w:sz w:val="22"/>
          <w:szCs w:val="22"/>
        </w:rPr>
        <w:t xml:space="preserve">ŞİD: </w:t>
      </w:r>
      <w:r w:rsidRPr="00CC7A13">
        <w:rPr>
          <w:sz w:val="22"/>
          <w:szCs w:val="22"/>
        </w:rPr>
        <w:t xml:space="preserve">14.12.2019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30978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Gazete'de</w:t>
      </w:r>
      <w:proofErr w:type="spellEnd"/>
      <w:r w:rsidRPr="00CC7A13">
        <w:rPr>
          <w:sz w:val="22"/>
          <w:szCs w:val="22"/>
        </w:rPr>
        <w:t xml:space="preserve"> </w:t>
      </w:r>
      <w:proofErr w:type="spellStart"/>
      <w:r w:rsidRPr="00CC7A13">
        <w:rPr>
          <w:sz w:val="22"/>
          <w:szCs w:val="22"/>
        </w:rPr>
        <w:t>yayımlanan</w:t>
      </w:r>
      <w:proofErr w:type="spellEnd"/>
      <w:r w:rsidRPr="00CC7A13">
        <w:rPr>
          <w:sz w:val="22"/>
          <w:szCs w:val="22"/>
        </w:rPr>
        <w:t xml:space="preserve"> 12.12.2019 </w:t>
      </w:r>
      <w:proofErr w:type="spellStart"/>
      <w:r w:rsidRPr="00CC7A13">
        <w:rPr>
          <w:sz w:val="22"/>
          <w:szCs w:val="22"/>
        </w:rPr>
        <w:t>tarihli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8982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Kararı’nın</w:t>
      </w:r>
      <w:proofErr w:type="spellEnd"/>
      <w:r w:rsidRPr="00CC7A13">
        <w:rPr>
          <w:sz w:val="22"/>
          <w:szCs w:val="22"/>
        </w:rPr>
        <w:t xml:space="preserve"> </w:t>
      </w:r>
      <w:proofErr w:type="spellStart"/>
      <w:r w:rsidRPr="00CC7A13">
        <w:rPr>
          <w:sz w:val="22"/>
          <w:szCs w:val="22"/>
        </w:rPr>
        <w:t>derç</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BOTAŞ, </w:t>
      </w:r>
      <w:proofErr w:type="spellStart"/>
      <w:r w:rsidRPr="00CC7A13">
        <w:rPr>
          <w:sz w:val="22"/>
          <w:szCs w:val="22"/>
        </w:rPr>
        <w:t>İletim</w:t>
      </w:r>
      <w:proofErr w:type="spellEnd"/>
      <w:r w:rsidRPr="00CC7A13">
        <w:rPr>
          <w:sz w:val="22"/>
          <w:szCs w:val="22"/>
        </w:rPr>
        <w:t xml:space="preserve"> </w:t>
      </w:r>
      <w:proofErr w:type="spellStart"/>
      <w:r w:rsidRPr="00CC7A13">
        <w:rPr>
          <w:sz w:val="22"/>
          <w:szCs w:val="22"/>
        </w:rPr>
        <w:t>Şebekesi</w:t>
      </w:r>
      <w:proofErr w:type="spellEnd"/>
      <w:r w:rsidRPr="00CC7A13">
        <w:rPr>
          <w:sz w:val="22"/>
          <w:szCs w:val="22"/>
        </w:rPr>
        <w:t xml:space="preserve"> </w:t>
      </w:r>
      <w:proofErr w:type="spellStart"/>
      <w:r w:rsidRPr="00CC7A13">
        <w:rPr>
          <w:sz w:val="22"/>
          <w:szCs w:val="22"/>
        </w:rPr>
        <w:t>İşleyiş</w:t>
      </w:r>
      <w:proofErr w:type="spellEnd"/>
      <w:r w:rsidRPr="00CC7A13">
        <w:rPr>
          <w:sz w:val="22"/>
          <w:szCs w:val="22"/>
        </w:rPr>
        <w:t xml:space="preserve"> </w:t>
      </w:r>
      <w:proofErr w:type="spellStart"/>
      <w:r w:rsidRPr="00CC7A13">
        <w:rPr>
          <w:sz w:val="22"/>
          <w:szCs w:val="22"/>
        </w:rPr>
        <w:t>Düzenlemelerine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Esaslar’ı</w:t>
      </w:r>
      <w:proofErr w:type="spellEnd"/>
      <w:r w:rsidRPr="00CC7A13">
        <w:rPr>
          <w:sz w:val="22"/>
          <w:szCs w:val="22"/>
        </w:rPr>
        <w:t>,</w:t>
      </w:r>
      <w:r w:rsidR="00D54A21">
        <w:rPr>
          <w:sz w:val="22"/>
          <w:szCs w:val="22"/>
        </w:rPr>
        <w:t xml:space="preserve"> </w:t>
      </w:r>
      <w:bookmarkStart w:id="0" w:name="_GoBack"/>
      <w:bookmarkEnd w:id="0"/>
      <w:proofErr w:type="spellStart"/>
      <w:r w:rsidRPr="00CC7A13">
        <w:rPr>
          <w:sz w:val="22"/>
          <w:szCs w:val="22"/>
        </w:rPr>
        <w:t>ifade</w:t>
      </w:r>
      <w:proofErr w:type="spellEnd"/>
      <w:r w:rsidRPr="00CC7A13">
        <w:rPr>
          <w:sz w:val="22"/>
          <w:szCs w:val="22"/>
        </w:rPr>
        <w:t xml:space="preserve"> </w:t>
      </w:r>
      <w:proofErr w:type="spellStart"/>
      <w:proofErr w:type="gramStart"/>
      <w:r w:rsidRPr="00CC7A13">
        <w:rPr>
          <w:sz w:val="22"/>
          <w:szCs w:val="22"/>
        </w:rPr>
        <w:t>eder</w:t>
      </w:r>
      <w:proofErr w:type="spellEnd"/>
      <w:proofErr w:type="gramEnd"/>
      <w:r w:rsidRPr="00CC7A13">
        <w:rPr>
          <w:sz w:val="22"/>
          <w:szCs w:val="22"/>
        </w:rPr>
        <w:t>.</w:t>
      </w:r>
    </w:p>
    <w:p w:rsidR="00E80BF8" w:rsidRDefault="00E80BF8" w:rsidP="00E80BF8">
      <w:pPr>
        <w:pStyle w:val="GvdeMetni"/>
        <w:spacing w:before="202"/>
        <w:jc w:val="both"/>
        <w:rPr>
          <w:sz w:val="22"/>
          <w:szCs w:val="22"/>
        </w:rPr>
      </w:pP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E80BF8">
        <w:rPr>
          <w:rFonts w:eastAsia="Times New Roman" w:cs="Times New Roman"/>
          <w:b/>
          <w:lang w:val="tr-TR"/>
        </w:rPr>
        <w:t>Sözleşmenin Konusu:</w:t>
      </w:r>
    </w:p>
    <w:p w:rsidR="00E80BF8" w:rsidRPr="00CC7A13" w:rsidRDefault="00E80BF8" w:rsidP="00E80BF8">
      <w:pPr>
        <w:pStyle w:val="GvdeMetni"/>
        <w:spacing w:before="202"/>
        <w:jc w:val="both"/>
        <w:rPr>
          <w:sz w:val="22"/>
          <w:szCs w:val="22"/>
        </w:rPr>
        <w:sectPr w:rsidR="00E80BF8" w:rsidRPr="00CC7A13" w:rsidSect="0081274A">
          <w:headerReference w:type="even" r:id="rId8"/>
          <w:headerReference w:type="default" r:id="rId9"/>
          <w:footerReference w:type="even" r:id="rId10"/>
          <w:footerReference w:type="default" r:id="rId11"/>
          <w:headerReference w:type="first" r:id="rId12"/>
          <w:footerReference w:type="first" r:id="rId13"/>
          <w:type w:val="continuous"/>
          <w:pgSz w:w="11900" w:h="16840"/>
          <w:pgMar w:top="1600" w:right="1300" w:bottom="960" w:left="1260" w:header="0" w:footer="777" w:gutter="0"/>
          <w:cols w:space="708"/>
        </w:sect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145087" w:rsidRPr="00E80BF8" w:rsidRDefault="00493E9B" w:rsidP="00E80BF8">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CC7A13" w:rsidRDefault="00493E9B">
      <w:pPr>
        <w:pStyle w:val="GvdeMetni"/>
        <w:spacing w:before="198"/>
        <w:rPr>
          <w:sz w:val="22"/>
          <w:szCs w:val="22"/>
        </w:rPr>
      </w:pPr>
      <w:proofErr w:type="spellStart"/>
      <w:r w:rsidRPr="00CC7A13">
        <w:rPr>
          <w:sz w:val="22"/>
          <w:szCs w:val="22"/>
        </w:rPr>
        <w:t>Sözleşmenin</w:t>
      </w:r>
      <w:proofErr w:type="spellEnd"/>
      <w:r w:rsidRPr="00CC7A13">
        <w:rPr>
          <w:sz w:val="22"/>
          <w:szCs w:val="22"/>
        </w:rPr>
        <w:t xml:space="preserve"> </w:t>
      </w:r>
      <w:proofErr w:type="spellStart"/>
      <w:r w:rsidRPr="00CC7A13">
        <w:rPr>
          <w:sz w:val="22"/>
          <w:szCs w:val="22"/>
        </w:rPr>
        <w:t>süresi</w:t>
      </w:r>
      <w:proofErr w:type="spellEnd"/>
      <w:r w:rsidRPr="00CC7A13">
        <w:rPr>
          <w:sz w:val="22"/>
          <w:szCs w:val="22"/>
        </w:rPr>
        <w:t xml:space="preserve">, </w:t>
      </w:r>
      <w:r w:rsidR="00B752B9" w:rsidRPr="00E80BF8">
        <w:rPr>
          <w:sz w:val="22"/>
          <w:szCs w:val="22"/>
        </w:rPr>
        <w:t>01</w:t>
      </w:r>
      <w:r w:rsidRPr="00E80BF8">
        <w:rPr>
          <w:sz w:val="22"/>
          <w:szCs w:val="22"/>
        </w:rPr>
        <w:t>.</w:t>
      </w:r>
      <w:r w:rsidR="0081274A" w:rsidRPr="00E80BF8">
        <w:rPr>
          <w:sz w:val="22"/>
          <w:szCs w:val="22"/>
        </w:rPr>
        <w:t>07</w:t>
      </w:r>
      <w:r w:rsidR="00B752B9" w:rsidRPr="00E80BF8">
        <w:rPr>
          <w:sz w:val="22"/>
          <w:szCs w:val="22"/>
        </w:rPr>
        <w:t>.2021</w:t>
      </w:r>
      <w:r w:rsidRPr="00E80BF8">
        <w:rPr>
          <w:sz w:val="22"/>
          <w:szCs w:val="22"/>
        </w:rPr>
        <w:t xml:space="preserve"> </w:t>
      </w:r>
      <w:proofErr w:type="spellStart"/>
      <w:r w:rsidRPr="00CC7A13">
        <w:rPr>
          <w:sz w:val="22"/>
          <w:szCs w:val="22"/>
        </w:rPr>
        <w:t>tarihinden</w:t>
      </w:r>
      <w:proofErr w:type="spellEnd"/>
      <w:r w:rsidRPr="00CC7A13">
        <w:rPr>
          <w:sz w:val="22"/>
          <w:szCs w:val="22"/>
        </w:rPr>
        <w:t xml:space="preserve"> </w:t>
      </w:r>
      <w:proofErr w:type="spellStart"/>
      <w:r w:rsidRPr="00CC7A13">
        <w:rPr>
          <w:sz w:val="22"/>
          <w:szCs w:val="22"/>
        </w:rPr>
        <w:t>başlamak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yıldır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93E9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sidRPr="00CC7A13">
        <w:rPr>
          <w:sz w:val="22"/>
          <w:szCs w:val="22"/>
        </w:rPr>
        <w:t>İşbu</w:t>
      </w:r>
      <w:proofErr w:type="spellEnd"/>
      <w:r w:rsidRPr="00CC7A13">
        <w:rPr>
          <w:sz w:val="22"/>
          <w:szCs w:val="22"/>
        </w:rPr>
        <w:tab/>
      </w:r>
      <w:proofErr w:type="spellStart"/>
      <w:r w:rsidRPr="00CC7A13">
        <w:rPr>
          <w:sz w:val="22"/>
          <w:szCs w:val="22"/>
        </w:rPr>
        <w:t>Sözleşmenin</w:t>
      </w:r>
      <w:proofErr w:type="spellEnd"/>
      <w:r w:rsidRPr="00CC7A13">
        <w:rPr>
          <w:sz w:val="22"/>
          <w:szCs w:val="22"/>
        </w:rPr>
        <w:tab/>
      </w:r>
      <w:proofErr w:type="spellStart"/>
      <w:r w:rsidRPr="00CC7A13">
        <w:rPr>
          <w:sz w:val="22"/>
          <w:szCs w:val="22"/>
        </w:rPr>
        <w:t>imzalandığı</w:t>
      </w:r>
      <w:proofErr w:type="spellEnd"/>
      <w:r w:rsidRPr="00CC7A13">
        <w:rPr>
          <w:sz w:val="22"/>
          <w:szCs w:val="22"/>
        </w:rPr>
        <w:tab/>
      </w:r>
      <w:proofErr w:type="spellStart"/>
      <w:r w:rsidRPr="00CC7A13">
        <w:rPr>
          <w:sz w:val="22"/>
          <w:szCs w:val="22"/>
        </w:rPr>
        <w:t>tarih</w:t>
      </w:r>
      <w:proofErr w:type="spellEnd"/>
      <w:r w:rsidRPr="00CC7A13">
        <w:rPr>
          <w:sz w:val="22"/>
          <w:szCs w:val="22"/>
        </w:rPr>
        <w:tab/>
      </w:r>
      <w:proofErr w:type="spellStart"/>
      <w:r w:rsidRPr="00CC7A13">
        <w:rPr>
          <w:sz w:val="22"/>
          <w:szCs w:val="22"/>
        </w:rPr>
        <w:t>itibariyle</w:t>
      </w:r>
      <w:proofErr w:type="spellEnd"/>
      <w:r w:rsidRPr="00CC7A13">
        <w:rPr>
          <w:sz w:val="22"/>
          <w:szCs w:val="22"/>
        </w:rPr>
        <w:tab/>
      </w:r>
      <w:proofErr w:type="spellStart"/>
      <w:r w:rsidRPr="00CC7A13">
        <w:rPr>
          <w:sz w:val="22"/>
          <w:szCs w:val="22"/>
        </w:rPr>
        <w:t>ENERYA’ya</w:t>
      </w:r>
      <w:proofErr w:type="spellEnd"/>
      <w:r w:rsidRPr="00CC7A13">
        <w:rPr>
          <w:sz w:val="22"/>
          <w:szCs w:val="22"/>
        </w:rPr>
        <w:tab/>
      </w:r>
      <w:proofErr w:type="spellStart"/>
      <w:r w:rsidRPr="00CC7A13">
        <w:rPr>
          <w:sz w:val="22"/>
          <w:szCs w:val="22"/>
        </w:rPr>
        <w:t>LNG’nin</w:t>
      </w:r>
      <w:proofErr w:type="spellEnd"/>
      <w:r w:rsidRPr="00CC7A13">
        <w:rPr>
          <w:sz w:val="22"/>
          <w:szCs w:val="22"/>
        </w:rPr>
        <w:tab/>
      </w:r>
      <w:proofErr w:type="spellStart"/>
      <w:r w:rsidRPr="00CC7A13">
        <w:rPr>
          <w:spacing w:val="-4"/>
          <w:sz w:val="22"/>
          <w:szCs w:val="22"/>
        </w:rPr>
        <w:t>Teslim</w:t>
      </w:r>
      <w:proofErr w:type="spellEnd"/>
      <w:r w:rsidRPr="00CC7A13">
        <w:rPr>
          <w:spacing w:val="-4"/>
          <w:sz w:val="22"/>
          <w:szCs w:val="22"/>
        </w:rPr>
        <w:t xml:space="preserve"> </w:t>
      </w:r>
      <w:proofErr w:type="spellStart"/>
      <w:r w:rsidRPr="00CC7A13">
        <w:rPr>
          <w:sz w:val="22"/>
          <w:szCs w:val="22"/>
        </w:rPr>
        <w:t>Noktası</w:t>
      </w:r>
      <w:proofErr w:type="spellEnd"/>
      <w:r w:rsidRPr="00CC7A13">
        <w:rPr>
          <w:sz w:val="22"/>
          <w:szCs w:val="22"/>
        </w:rPr>
        <w:t>/</w:t>
      </w:r>
      <w:proofErr w:type="spellStart"/>
      <w:r w:rsidRPr="00CC7A13">
        <w:rPr>
          <w:sz w:val="22"/>
          <w:szCs w:val="22"/>
        </w:rPr>
        <w:t>Noktaları</w:t>
      </w:r>
      <w:proofErr w:type="spellEnd"/>
      <w:r w:rsidRPr="00CC7A13">
        <w:rPr>
          <w:sz w:val="22"/>
          <w:szCs w:val="22"/>
        </w:rPr>
        <w:t xml:space="preserve"> </w:t>
      </w:r>
      <w:proofErr w:type="spellStart"/>
      <w:r w:rsidRPr="00CC7A13">
        <w:rPr>
          <w:sz w:val="22"/>
          <w:szCs w:val="22"/>
        </w:rPr>
        <w:t>ekte</w:t>
      </w:r>
      <w:proofErr w:type="spellEnd"/>
      <w:r w:rsidRPr="00CC7A13">
        <w:rPr>
          <w:sz w:val="22"/>
          <w:szCs w:val="22"/>
        </w:rPr>
        <w:t xml:space="preserve"> </w:t>
      </w:r>
      <w:proofErr w:type="spellStart"/>
      <w:r w:rsidRPr="00CC7A13">
        <w:rPr>
          <w:sz w:val="22"/>
          <w:szCs w:val="22"/>
        </w:rPr>
        <w:t>belirtilmiştir</w:t>
      </w:r>
      <w:proofErr w:type="spellEnd"/>
      <w:r w:rsidRPr="00CC7A13">
        <w:rPr>
          <w:sz w:val="22"/>
          <w:szCs w:val="22"/>
        </w:rPr>
        <w:t xml:space="preserve"> (</w:t>
      </w:r>
      <w:proofErr w:type="spellStart"/>
      <w:r w:rsidRPr="00CC7A13">
        <w:rPr>
          <w:sz w:val="22"/>
          <w:szCs w:val="22"/>
        </w:rPr>
        <w:t>Ek</w:t>
      </w:r>
      <w:proofErr w:type="spellEnd"/>
      <w:r w:rsidRPr="00CC7A13">
        <w:rPr>
          <w:spacing w:val="-5"/>
          <w:sz w:val="22"/>
          <w:szCs w:val="22"/>
        </w:rPr>
        <w:t xml:space="preserve"> </w:t>
      </w:r>
      <w:r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ENERYA’nın</w:t>
      </w:r>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ENERYA’nın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ENERYA’nın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pPr>
        <w:pStyle w:val="GvdeMetni"/>
        <w:spacing w:before="199"/>
        <w:ind w:left="1288" w:right="114"/>
        <w:jc w:val="both"/>
        <w:rPr>
          <w:sz w:val="22"/>
          <w:szCs w:val="22"/>
        </w:rPr>
      </w:pPr>
      <w:proofErr w:type="spellStart"/>
      <w:r w:rsidRPr="00CC7A13">
        <w:rPr>
          <w:sz w:val="22"/>
          <w:szCs w:val="22"/>
        </w:rPr>
        <w:t>Taahhüdün</w:t>
      </w:r>
      <w:proofErr w:type="spellEnd"/>
      <w:r w:rsidRPr="00CC7A13">
        <w:rPr>
          <w:sz w:val="22"/>
          <w:szCs w:val="22"/>
        </w:rPr>
        <w:t xml:space="preserve"> </w:t>
      </w:r>
      <w:proofErr w:type="spellStart"/>
      <w:r w:rsidRPr="00CC7A13">
        <w:rPr>
          <w:sz w:val="22"/>
          <w:szCs w:val="22"/>
        </w:rPr>
        <w:t>yerine</w:t>
      </w:r>
      <w:proofErr w:type="spellEnd"/>
      <w:r w:rsidRPr="00CC7A13">
        <w:rPr>
          <w:sz w:val="22"/>
          <w:szCs w:val="22"/>
        </w:rPr>
        <w:t xml:space="preserve"> </w:t>
      </w:r>
      <w:proofErr w:type="spellStart"/>
      <w:r w:rsidRPr="00CC7A13">
        <w:rPr>
          <w:sz w:val="22"/>
          <w:szCs w:val="22"/>
        </w:rPr>
        <w:t>getirilmesine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ulaşım</w:t>
      </w:r>
      <w:proofErr w:type="spellEnd"/>
      <w:r w:rsidRPr="00CC7A13">
        <w:rPr>
          <w:sz w:val="22"/>
          <w:szCs w:val="22"/>
        </w:rPr>
        <w:t xml:space="preserve">, </w:t>
      </w:r>
      <w:proofErr w:type="spellStart"/>
      <w:r w:rsidRPr="00CC7A13">
        <w:rPr>
          <w:sz w:val="22"/>
          <w:szCs w:val="22"/>
        </w:rPr>
        <w:t>sigorta</w:t>
      </w:r>
      <w:proofErr w:type="spellEnd"/>
      <w:r w:rsidRPr="00CC7A13">
        <w:rPr>
          <w:sz w:val="22"/>
          <w:szCs w:val="22"/>
        </w:rPr>
        <w:t xml:space="preserve">, </w:t>
      </w:r>
      <w:proofErr w:type="spellStart"/>
      <w:r w:rsidRPr="00CC7A13">
        <w:rPr>
          <w:sz w:val="22"/>
          <w:szCs w:val="22"/>
        </w:rPr>
        <w:t>vergi</w:t>
      </w:r>
      <w:proofErr w:type="spellEnd"/>
      <w:r w:rsidRPr="00CC7A13">
        <w:rPr>
          <w:sz w:val="22"/>
          <w:szCs w:val="22"/>
        </w:rPr>
        <w:t xml:space="preserve">, </w:t>
      </w:r>
      <w:proofErr w:type="spellStart"/>
      <w:r w:rsidRPr="00CC7A13">
        <w:rPr>
          <w:sz w:val="22"/>
          <w:szCs w:val="22"/>
        </w:rPr>
        <w:t>resim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harç</w:t>
      </w:r>
      <w:proofErr w:type="spellEnd"/>
      <w:r w:rsidRPr="00CC7A13">
        <w:rPr>
          <w:sz w:val="22"/>
          <w:szCs w:val="22"/>
        </w:rPr>
        <w:t xml:space="preserve"> </w:t>
      </w:r>
      <w:proofErr w:type="spellStart"/>
      <w:r w:rsidRPr="00CC7A13">
        <w:rPr>
          <w:sz w:val="22"/>
          <w:szCs w:val="22"/>
        </w:rPr>
        <w:t>giderleri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her </w:t>
      </w:r>
      <w:proofErr w:type="spellStart"/>
      <w:r w:rsidRPr="00CC7A13">
        <w:rPr>
          <w:sz w:val="22"/>
          <w:szCs w:val="22"/>
        </w:rPr>
        <w:t>türlü</w:t>
      </w:r>
      <w:proofErr w:type="spellEnd"/>
      <w:r w:rsidRPr="00CC7A13">
        <w:rPr>
          <w:sz w:val="22"/>
          <w:szCs w:val="22"/>
        </w:rPr>
        <w:t xml:space="preserve">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giderler</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dahildir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mevzuatı</w:t>
      </w:r>
      <w:proofErr w:type="spellEnd"/>
      <w:r w:rsidRPr="00CC7A13">
        <w:rPr>
          <w:sz w:val="22"/>
          <w:szCs w:val="22"/>
        </w:rPr>
        <w:t xml:space="preserve"> </w:t>
      </w:r>
      <w:proofErr w:type="spellStart"/>
      <w:r w:rsidRPr="00CC7A13">
        <w:rPr>
          <w:sz w:val="22"/>
          <w:szCs w:val="22"/>
        </w:rPr>
        <w:t>uyarınca</w:t>
      </w:r>
      <w:proofErr w:type="spellEnd"/>
      <w:r w:rsidRPr="00CC7A13">
        <w:rPr>
          <w:sz w:val="22"/>
          <w:szCs w:val="22"/>
        </w:rPr>
        <w:t xml:space="preserve"> </w:t>
      </w:r>
      <w:proofErr w:type="spellStart"/>
      <w:r w:rsidRPr="00CC7A13">
        <w:rPr>
          <w:sz w:val="22"/>
          <w:szCs w:val="22"/>
        </w:rPr>
        <w:t>hesaplanacak</w:t>
      </w:r>
      <w:proofErr w:type="spellEnd"/>
      <w:r w:rsidRPr="00CC7A13">
        <w:rPr>
          <w:sz w:val="22"/>
          <w:szCs w:val="22"/>
        </w:rPr>
        <w:t xml:space="preserve"> </w:t>
      </w:r>
      <w:proofErr w:type="spellStart"/>
      <w:r w:rsidRPr="00CC7A13">
        <w:rPr>
          <w:sz w:val="22"/>
          <w:szCs w:val="22"/>
        </w:rPr>
        <w:t>Katma</w:t>
      </w:r>
      <w:proofErr w:type="spellEnd"/>
      <w:r w:rsidRPr="00CC7A13">
        <w:rPr>
          <w:sz w:val="22"/>
          <w:szCs w:val="22"/>
        </w:rPr>
        <w:t xml:space="preserve"> Değer </w:t>
      </w:r>
      <w:proofErr w:type="spellStart"/>
      <w:r w:rsidRPr="00CC7A13">
        <w:rPr>
          <w:sz w:val="22"/>
          <w:szCs w:val="22"/>
        </w:rPr>
        <w:t>Vergisi</w:t>
      </w:r>
      <w:proofErr w:type="spellEnd"/>
      <w:r w:rsidRPr="00CC7A13">
        <w:rPr>
          <w:sz w:val="22"/>
          <w:szCs w:val="22"/>
        </w:rPr>
        <w:t xml:space="preserve"> (KDV)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bedeline</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değildir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ENERYA’nın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D33416" w:rsidRPr="00D33416" w:rsidRDefault="00D33416" w:rsidP="00D33416">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ind w:left="0"/>
        <w:rPr>
          <w:sz w:val="22"/>
          <w:szCs w:val="22"/>
        </w:rPr>
      </w:pPr>
    </w:p>
    <w:p w:rsidR="00145087" w:rsidRPr="00CC7A13" w:rsidRDefault="00145087">
      <w:pPr>
        <w:pStyle w:val="GvdeMetni"/>
        <w:spacing w:before="11"/>
        <w:ind w:left="0"/>
        <w:rPr>
          <w:sz w:val="22"/>
          <w:szCs w:val="22"/>
        </w:rPr>
      </w:pPr>
    </w:p>
    <w:p w:rsidR="00145087" w:rsidRPr="00CC7A13" w:rsidRDefault="00145087">
      <w:pPr>
        <w:pStyle w:val="GvdeMetni"/>
        <w:spacing w:before="198"/>
        <w:ind w:right="114"/>
        <w:jc w:val="both"/>
        <w:rPr>
          <w:sz w:val="22"/>
          <w:szCs w:val="22"/>
        </w:rPr>
      </w:pP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lastRenderedPageBreak/>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proofErr w:type="gram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proofErr w:type="gram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ENERYA’nın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145087" w:rsidRPr="00CC7A13" w:rsidRDefault="00145087" w:rsidP="004D07A7">
      <w:pPr>
        <w:pStyle w:val="GvdeMetni"/>
        <w:ind w:right="113"/>
        <w:jc w:val="both"/>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C7A13" w:rsidRDefault="004D07A7">
      <w:pPr>
        <w:pStyle w:val="GvdeMetni"/>
        <w:spacing w:before="199"/>
        <w:ind w:right="117"/>
        <w:jc w:val="both"/>
        <w:rPr>
          <w:sz w:val="22"/>
          <w:szCs w:val="22"/>
        </w:rPr>
      </w:pPr>
      <w:r w:rsidRPr="004D07A7">
        <w:rPr>
          <w:sz w:val="22"/>
          <w:szCs w:val="22"/>
        </w:rPr>
        <w:t>YÜK</w:t>
      </w:r>
      <w:r w:rsidRPr="00CC7A13">
        <w:rPr>
          <w:sz w:val="22"/>
          <w:szCs w:val="22"/>
        </w:rPr>
        <w:t>L</w:t>
      </w:r>
      <w:r w:rsidRPr="004D07A7">
        <w:rPr>
          <w:sz w:val="22"/>
          <w:szCs w:val="22"/>
        </w:rPr>
        <w:t>EN</w:t>
      </w:r>
      <w:r>
        <w:rPr>
          <w:sz w:val="22"/>
          <w:szCs w:val="22"/>
        </w:rPr>
        <w:t>İCİ</w:t>
      </w:r>
      <w:r w:rsidR="00493E9B" w:rsidRPr="00CC7A13">
        <w:rPr>
          <w:sz w:val="22"/>
          <w:szCs w:val="22"/>
        </w:rPr>
        <w:t>,</w:t>
      </w:r>
      <w:r w:rsidR="00493E9B" w:rsidRPr="00CC7A13">
        <w:rPr>
          <w:spacing w:val="13"/>
          <w:sz w:val="22"/>
          <w:szCs w:val="22"/>
        </w:rPr>
        <w:t xml:space="preserve"> </w:t>
      </w:r>
      <w:r w:rsidR="00493E9B" w:rsidRPr="00CC7A13">
        <w:rPr>
          <w:spacing w:val="1"/>
          <w:sz w:val="22"/>
          <w:szCs w:val="22"/>
        </w:rPr>
        <w:t>E</w:t>
      </w:r>
      <w:r w:rsidR="00493E9B" w:rsidRPr="00CC7A13">
        <w:rPr>
          <w:spacing w:val="-1"/>
          <w:sz w:val="22"/>
          <w:szCs w:val="22"/>
        </w:rPr>
        <w:t>N</w:t>
      </w:r>
      <w:r w:rsidR="00493E9B" w:rsidRPr="00CC7A13">
        <w:rPr>
          <w:spacing w:val="1"/>
          <w:sz w:val="22"/>
          <w:szCs w:val="22"/>
        </w:rPr>
        <w:t>E</w:t>
      </w:r>
      <w:r w:rsidR="00493E9B" w:rsidRPr="00CC7A13">
        <w:rPr>
          <w:spacing w:val="-1"/>
          <w:sz w:val="22"/>
          <w:szCs w:val="22"/>
        </w:rPr>
        <w:t>R</w:t>
      </w:r>
      <w:r w:rsidR="00493E9B" w:rsidRPr="00CC7A13">
        <w:rPr>
          <w:spacing w:val="2"/>
          <w:sz w:val="22"/>
          <w:szCs w:val="22"/>
        </w:rPr>
        <w:t>Y</w:t>
      </w:r>
      <w:r w:rsidR="00493E9B" w:rsidRPr="00CC7A13">
        <w:rPr>
          <w:sz w:val="22"/>
          <w:szCs w:val="22"/>
        </w:rPr>
        <w:t>A</w:t>
      </w:r>
      <w:r w:rsidR="00493E9B" w:rsidRPr="00CC7A13">
        <w:rPr>
          <w:spacing w:val="13"/>
          <w:sz w:val="22"/>
          <w:szCs w:val="22"/>
        </w:rPr>
        <w:t xml:space="preserve"> </w:t>
      </w:r>
      <w:proofErr w:type="spellStart"/>
      <w:r w:rsidR="00493E9B" w:rsidRPr="00CC7A13">
        <w:rPr>
          <w:sz w:val="22"/>
          <w:szCs w:val="22"/>
        </w:rPr>
        <w:t>i</w:t>
      </w:r>
      <w:r w:rsidR="00493E9B" w:rsidRPr="00CC7A13">
        <w:rPr>
          <w:spacing w:val="-1"/>
          <w:sz w:val="22"/>
          <w:szCs w:val="22"/>
        </w:rPr>
        <w:t>ç</w:t>
      </w:r>
      <w:r w:rsidR="00493E9B" w:rsidRPr="00CC7A13">
        <w:rPr>
          <w:sz w:val="22"/>
          <w:szCs w:val="22"/>
        </w:rPr>
        <w:t>in</w:t>
      </w:r>
      <w:proofErr w:type="spellEnd"/>
      <w:r w:rsidR="00493E9B" w:rsidRPr="00CC7A13">
        <w:rPr>
          <w:spacing w:val="10"/>
          <w:sz w:val="22"/>
          <w:szCs w:val="22"/>
        </w:rPr>
        <w:t xml:space="preserve"> </w:t>
      </w:r>
      <w:r w:rsidR="00493E9B" w:rsidRPr="00CC7A13">
        <w:rPr>
          <w:spacing w:val="1"/>
          <w:sz w:val="22"/>
          <w:szCs w:val="22"/>
        </w:rPr>
        <w:t>h</w:t>
      </w:r>
      <w:r w:rsidR="00493E9B" w:rsidRPr="00CC7A13">
        <w:rPr>
          <w:spacing w:val="-2"/>
          <w:sz w:val="22"/>
          <w:szCs w:val="22"/>
        </w:rPr>
        <w:t>e</w:t>
      </w:r>
      <w:r w:rsidR="00493E9B" w:rsidRPr="00CC7A13">
        <w:rPr>
          <w:sz w:val="22"/>
          <w:szCs w:val="22"/>
        </w:rPr>
        <w:t>r</w:t>
      </w:r>
      <w:r w:rsidR="00493E9B" w:rsidRPr="00CC7A13">
        <w:rPr>
          <w:spacing w:val="15"/>
          <w:sz w:val="22"/>
          <w:szCs w:val="22"/>
        </w:rPr>
        <w:t xml:space="preserve"> </w:t>
      </w:r>
      <w:proofErr w:type="spellStart"/>
      <w:r w:rsidR="00493E9B" w:rsidRPr="00CC7A13">
        <w:rPr>
          <w:spacing w:val="-2"/>
          <w:sz w:val="22"/>
          <w:szCs w:val="22"/>
        </w:rPr>
        <w:t>a</w:t>
      </w:r>
      <w:r w:rsidR="00493E9B" w:rsidRPr="00CC7A13">
        <w:rPr>
          <w:spacing w:val="-1"/>
          <w:sz w:val="22"/>
          <w:szCs w:val="22"/>
        </w:rPr>
        <w:t>y</w:t>
      </w:r>
      <w:r w:rsidR="00493E9B" w:rsidRPr="00CC7A13">
        <w:rPr>
          <w:sz w:val="22"/>
          <w:szCs w:val="22"/>
        </w:rPr>
        <w:t>a</w:t>
      </w:r>
      <w:proofErr w:type="spellEnd"/>
      <w:r w:rsidR="00493E9B" w:rsidRPr="00CC7A13">
        <w:rPr>
          <w:spacing w:val="12"/>
          <w:sz w:val="22"/>
          <w:szCs w:val="22"/>
        </w:rPr>
        <w:t xml:space="preserve"> </w:t>
      </w:r>
      <w:proofErr w:type="spellStart"/>
      <w:r w:rsidR="00493E9B" w:rsidRPr="00CC7A13">
        <w:rPr>
          <w:spacing w:val="-2"/>
          <w:sz w:val="22"/>
          <w:szCs w:val="22"/>
        </w:rPr>
        <w:t>a</w:t>
      </w:r>
      <w:r w:rsidR="00493E9B" w:rsidRPr="00CC7A13">
        <w:rPr>
          <w:sz w:val="22"/>
          <w:szCs w:val="22"/>
        </w:rPr>
        <w:t>it</w:t>
      </w:r>
      <w:proofErr w:type="spellEnd"/>
      <w:r w:rsidR="00493E9B" w:rsidRPr="00CC7A13">
        <w:rPr>
          <w:spacing w:val="14"/>
          <w:sz w:val="22"/>
          <w:szCs w:val="22"/>
        </w:rPr>
        <w:t xml:space="preserve"> </w:t>
      </w:r>
      <w:r w:rsidR="00493E9B" w:rsidRPr="00CC7A13">
        <w:rPr>
          <w:sz w:val="22"/>
          <w:szCs w:val="22"/>
        </w:rPr>
        <w:t>L</w:t>
      </w:r>
      <w:r w:rsidR="00493E9B" w:rsidRPr="00CC7A13">
        <w:rPr>
          <w:spacing w:val="-1"/>
          <w:sz w:val="22"/>
          <w:szCs w:val="22"/>
        </w:rPr>
        <w:t>N</w:t>
      </w:r>
      <w:r w:rsidR="00493E9B" w:rsidRPr="00CC7A13">
        <w:rPr>
          <w:sz w:val="22"/>
          <w:szCs w:val="22"/>
        </w:rPr>
        <w:t>G</w:t>
      </w:r>
      <w:r w:rsidR="00493E9B" w:rsidRPr="00CC7A13">
        <w:rPr>
          <w:spacing w:val="16"/>
          <w:sz w:val="22"/>
          <w:szCs w:val="22"/>
        </w:rPr>
        <w:t xml:space="preserve"> </w:t>
      </w:r>
      <w:proofErr w:type="spellStart"/>
      <w:r w:rsidR="00493E9B" w:rsidRPr="00CC7A13">
        <w:rPr>
          <w:spacing w:val="-1"/>
          <w:sz w:val="22"/>
          <w:szCs w:val="22"/>
        </w:rPr>
        <w:t>ç</w:t>
      </w:r>
      <w:r w:rsidR="00493E9B" w:rsidRPr="00CC7A13">
        <w:rPr>
          <w:spacing w:val="-2"/>
          <w:sz w:val="22"/>
          <w:szCs w:val="22"/>
        </w:rPr>
        <w:t>ek</w:t>
      </w:r>
      <w:r w:rsidR="00493E9B" w:rsidRPr="00CC7A13">
        <w:rPr>
          <w:sz w:val="22"/>
          <w:szCs w:val="22"/>
        </w:rPr>
        <w:t>i</w:t>
      </w:r>
      <w:r w:rsidR="00493E9B" w:rsidRPr="00CC7A13">
        <w:rPr>
          <w:spacing w:val="2"/>
          <w:sz w:val="22"/>
          <w:szCs w:val="22"/>
        </w:rPr>
        <w:t>şl</w:t>
      </w:r>
      <w:r w:rsidR="00493E9B" w:rsidRPr="00CC7A13">
        <w:rPr>
          <w:spacing w:val="-2"/>
          <w:sz w:val="22"/>
          <w:szCs w:val="22"/>
        </w:rPr>
        <w:t>e</w:t>
      </w:r>
      <w:r w:rsidR="00493E9B" w:rsidRPr="00CC7A13">
        <w:rPr>
          <w:spacing w:val="1"/>
          <w:sz w:val="22"/>
          <w:szCs w:val="22"/>
        </w:rPr>
        <w:t>r</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z w:val="22"/>
          <w:szCs w:val="22"/>
        </w:rPr>
        <w:t>i</w:t>
      </w:r>
      <w:r w:rsidR="00493E9B" w:rsidRPr="00CC7A13">
        <w:rPr>
          <w:spacing w:val="2"/>
          <w:sz w:val="22"/>
          <w:szCs w:val="22"/>
        </w:rPr>
        <w:t>l</w:t>
      </w:r>
      <w:r w:rsidR="00493E9B" w:rsidRPr="00CC7A13">
        <w:rPr>
          <w:sz w:val="22"/>
          <w:szCs w:val="22"/>
        </w:rPr>
        <w:t>e</w:t>
      </w:r>
      <w:proofErr w:type="spellEnd"/>
      <w:r w:rsidR="00493E9B" w:rsidRPr="00CC7A13">
        <w:rPr>
          <w:spacing w:val="12"/>
          <w:sz w:val="22"/>
          <w:szCs w:val="22"/>
        </w:rPr>
        <w:t xml:space="preserve"> </w:t>
      </w:r>
      <w:proofErr w:type="spellStart"/>
      <w:r w:rsidR="00493E9B" w:rsidRPr="00CC7A13">
        <w:rPr>
          <w:sz w:val="22"/>
          <w:szCs w:val="22"/>
        </w:rPr>
        <w:t>i</w:t>
      </w:r>
      <w:r w:rsidR="00493E9B" w:rsidRPr="00CC7A13">
        <w:rPr>
          <w:spacing w:val="-3"/>
          <w:sz w:val="22"/>
          <w:szCs w:val="22"/>
        </w:rPr>
        <w:t>l</w:t>
      </w:r>
      <w:r w:rsidR="00493E9B" w:rsidRPr="00CC7A13">
        <w:rPr>
          <w:spacing w:val="1"/>
          <w:sz w:val="22"/>
          <w:szCs w:val="22"/>
        </w:rPr>
        <w:t>g</w:t>
      </w:r>
      <w:r w:rsidR="00493E9B" w:rsidRPr="00CC7A13">
        <w:rPr>
          <w:sz w:val="22"/>
          <w:szCs w:val="22"/>
        </w:rPr>
        <w:t>i</w:t>
      </w:r>
      <w:r w:rsidR="00493E9B" w:rsidRPr="00CC7A13">
        <w:rPr>
          <w:spacing w:val="2"/>
          <w:sz w:val="22"/>
          <w:szCs w:val="22"/>
        </w:rPr>
        <w:t>l</w:t>
      </w:r>
      <w:r w:rsidR="00493E9B" w:rsidRPr="00CC7A13">
        <w:rPr>
          <w:sz w:val="22"/>
          <w:szCs w:val="22"/>
        </w:rPr>
        <w:t>i</w:t>
      </w:r>
      <w:proofErr w:type="spellEnd"/>
      <w:r w:rsidR="00493E9B" w:rsidRPr="00CC7A13">
        <w:rPr>
          <w:spacing w:val="14"/>
          <w:sz w:val="22"/>
          <w:szCs w:val="22"/>
        </w:rPr>
        <w:t xml:space="preserve"> </w:t>
      </w:r>
      <w:proofErr w:type="spellStart"/>
      <w:r w:rsidR="00493E9B" w:rsidRPr="00CC7A13">
        <w:rPr>
          <w:spacing w:val="-1"/>
          <w:sz w:val="22"/>
          <w:szCs w:val="22"/>
        </w:rPr>
        <w:t>f</w:t>
      </w:r>
      <w:r w:rsidR="00493E9B" w:rsidRPr="00CC7A13">
        <w:rPr>
          <w:spacing w:val="-2"/>
          <w:sz w:val="22"/>
          <w:szCs w:val="22"/>
        </w:rPr>
        <w:t>a</w:t>
      </w:r>
      <w:r w:rsidR="00493E9B" w:rsidRPr="00CC7A13">
        <w:rPr>
          <w:sz w:val="22"/>
          <w:szCs w:val="22"/>
        </w:rPr>
        <w:t>t</w:t>
      </w:r>
      <w:r w:rsidR="00493E9B" w:rsidRPr="00CC7A13">
        <w:rPr>
          <w:spacing w:val="1"/>
          <w:sz w:val="22"/>
          <w:szCs w:val="22"/>
        </w:rPr>
        <w:t>ur</w:t>
      </w:r>
      <w:r w:rsidR="00493E9B" w:rsidRPr="00CC7A13">
        <w:rPr>
          <w:spacing w:val="-2"/>
          <w:sz w:val="22"/>
          <w:szCs w:val="22"/>
        </w:rPr>
        <w:t>a</w:t>
      </w:r>
      <w:r w:rsidR="00493E9B" w:rsidRPr="00CC7A13">
        <w:rPr>
          <w:spacing w:val="2"/>
          <w:sz w:val="22"/>
          <w:szCs w:val="22"/>
        </w:rPr>
        <w:t>l</w:t>
      </w:r>
      <w:r w:rsidR="00493E9B" w:rsidRPr="00CC7A13">
        <w:rPr>
          <w:spacing w:val="-2"/>
          <w:sz w:val="22"/>
          <w:szCs w:val="22"/>
        </w:rPr>
        <w:t>a</w:t>
      </w:r>
      <w:r w:rsidR="00493E9B" w:rsidRPr="00CC7A13">
        <w:rPr>
          <w:spacing w:val="1"/>
          <w:sz w:val="22"/>
          <w:szCs w:val="22"/>
        </w:rPr>
        <w:t>r</w:t>
      </w:r>
      <w:r w:rsidR="00493E9B" w:rsidRPr="00CC7A13">
        <w:rPr>
          <w:spacing w:val="-5"/>
          <w:sz w:val="22"/>
          <w:szCs w:val="22"/>
        </w:rPr>
        <w:t>ı</w:t>
      </w:r>
      <w:r w:rsidR="00493E9B" w:rsidRPr="00CC7A13">
        <w:rPr>
          <w:sz w:val="22"/>
          <w:szCs w:val="22"/>
        </w:rPr>
        <w:t>nı</w:t>
      </w:r>
      <w:proofErr w:type="spellEnd"/>
      <w:r w:rsidR="00493E9B" w:rsidRPr="00CC7A13">
        <w:rPr>
          <w:sz w:val="22"/>
          <w:szCs w:val="22"/>
        </w:rPr>
        <w:t>;</w:t>
      </w:r>
      <w:r w:rsidR="00493E9B" w:rsidRPr="00CC7A13">
        <w:rPr>
          <w:spacing w:val="13"/>
          <w:sz w:val="22"/>
          <w:szCs w:val="22"/>
        </w:rPr>
        <w:t xml:space="preserve"> </w:t>
      </w:r>
      <w:proofErr w:type="spellStart"/>
      <w:r w:rsidR="00493E9B" w:rsidRPr="00CC7A13">
        <w:rPr>
          <w:sz w:val="22"/>
          <w:szCs w:val="22"/>
        </w:rPr>
        <w:t>t</w:t>
      </w:r>
      <w:r w:rsidR="00493E9B" w:rsidRPr="00CC7A13">
        <w:rPr>
          <w:spacing w:val="-2"/>
          <w:sz w:val="22"/>
          <w:szCs w:val="22"/>
        </w:rPr>
        <w:t>ak</w:t>
      </w:r>
      <w:r w:rsidR="00493E9B" w:rsidRPr="00CC7A13">
        <w:rPr>
          <w:sz w:val="22"/>
          <w:szCs w:val="22"/>
        </w:rPr>
        <w:t>ip</w:t>
      </w:r>
      <w:proofErr w:type="spellEnd"/>
      <w:r w:rsidR="00493E9B" w:rsidRPr="00CC7A13">
        <w:rPr>
          <w:spacing w:val="15"/>
          <w:sz w:val="22"/>
          <w:szCs w:val="22"/>
        </w:rPr>
        <w:t xml:space="preserve"> </w:t>
      </w:r>
      <w:proofErr w:type="spellStart"/>
      <w:proofErr w:type="gramStart"/>
      <w:r w:rsidR="00493E9B" w:rsidRPr="00CC7A13">
        <w:rPr>
          <w:spacing w:val="-2"/>
          <w:sz w:val="22"/>
          <w:szCs w:val="22"/>
        </w:rPr>
        <w:t>e</w:t>
      </w:r>
      <w:r w:rsidR="00493E9B" w:rsidRPr="00CC7A13">
        <w:rPr>
          <w:spacing w:val="1"/>
          <w:sz w:val="22"/>
          <w:szCs w:val="22"/>
        </w:rPr>
        <w:t>d</w:t>
      </w:r>
      <w:r w:rsidR="00493E9B" w:rsidRPr="00CC7A13">
        <w:rPr>
          <w:spacing w:val="-2"/>
          <w:sz w:val="22"/>
          <w:szCs w:val="22"/>
        </w:rPr>
        <w:t>e</w:t>
      </w:r>
      <w:r w:rsidR="00493E9B" w:rsidRPr="00CC7A13">
        <w:rPr>
          <w:sz w:val="22"/>
          <w:szCs w:val="22"/>
        </w:rPr>
        <w:t>n</w:t>
      </w:r>
      <w:proofErr w:type="spellEnd"/>
      <w:proofErr w:type="gramEnd"/>
      <w:r w:rsidR="00493E9B" w:rsidRPr="00CC7A13">
        <w:rPr>
          <w:sz w:val="22"/>
          <w:szCs w:val="22"/>
        </w:rPr>
        <w:t xml:space="preserve"> </w:t>
      </w:r>
      <w:proofErr w:type="spellStart"/>
      <w:r w:rsidR="00493E9B" w:rsidRPr="00CC7A13">
        <w:rPr>
          <w:sz w:val="22"/>
          <w:szCs w:val="22"/>
        </w:rPr>
        <w:t>ayın</w:t>
      </w:r>
      <w:proofErr w:type="spellEnd"/>
      <w:r w:rsidR="00493E9B" w:rsidRPr="00CC7A13">
        <w:rPr>
          <w:spacing w:val="-8"/>
          <w:sz w:val="22"/>
          <w:szCs w:val="22"/>
        </w:rPr>
        <w:t xml:space="preserve"> </w:t>
      </w:r>
      <w:r w:rsidR="00493E9B" w:rsidRPr="00CC7A13">
        <w:rPr>
          <w:sz w:val="22"/>
          <w:szCs w:val="22"/>
        </w:rPr>
        <w:t>7.</w:t>
      </w:r>
      <w:r w:rsidR="00493E9B" w:rsidRPr="00CC7A13">
        <w:rPr>
          <w:spacing w:val="-9"/>
          <w:sz w:val="22"/>
          <w:szCs w:val="22"/>
        </w:rPr>
        <w:t xml:space="preserve"> </w:t>
      </w:r>
      <w:r w:rsidR="00493E9B" w:rsidRPr="00CC7A13">
        <w:rPr>
          <w:sz w:val="22"/>
          <w:szCs w:val="22"/>
        </w:rPr>
        <w:t>(</w:t>
      </w:r>
      <w:proofErr w:type="spellStart"/>
      <w:proofErr w:type="gramStart"/>
      <w:r w:rsidR="00493E9B" w:rsidRPr="00CC7A13">
        <w:rPr>
          <w:sz w:val="22"/>
          <w:szCs w:val="22"/>
        </w:rPr>
        <w:t>yedinci</w:t>
      </w:r>
      <w:proofErr w:type="spellEnd"/>
      <w:proofErr w:type="gramEnd"/>
      <w:r w:rsidR="00493E9B" w:rsidRPr="00CC7A13">
        <w:rPr>
          <w:sz w:val="22"/>
          <w:szCs w:val="22"/>
        </w:rPr>
        <w:t>)</w:t>
      </w:r>
      <w:r w:rsidR="00493E9B" w:rsidRPr="00CC7A13">
        <w:rPr>
          <w:spacing w:val="-9"/>
          <w:sz w:val="22"/>
          <w:szCs w:val="22"/>
        </w:rPr>
        <w:t xml:space="preserve"> </w:t>
      </w:r>
      <w:proofErr w:type="spellStart"/>
      <w:r w:rsidR="00493E9B" w:rsidRPr="00CC7A13">
        <w:rPr>
          <w:sz w:val="22"/>
          <w:szCs w:val="22"/>
        </w:rPr>
        <w:t>gününe</w:t>
      </w:r>
      <w:proofErr w:type="spellEnd"/>
      <w:r w:rsidR="00493E9B" w:rsidRPr="00CC7A13">
        <w:rPr>
          <w:spacing w:val="-9"/>
          <w:sz w:val="22"/>
          <w:szCs w:val="22"/>
        </w:rPr>
        <w:t xml:space="preserve"> </w:t>
      </w:r>
      <w:proofErr w:type="spellStart"/>
      <w:r w:rsidR="00493E9B" w:rsidRPr="00CC7A13">
        <w:rPr>
          <w:sz w:val="22"/>
          <w:szCs w:val="22"/>
        </w:rPr>
        <w:t>kadar</w:t>
      </w:r>
      <w:proofErr w:type="spellEnd"/>
      <w:r w:rsidR="00493E9B" w:rsidRPr="00CC7A13">
        <w:rPr>
          <w:spacing w:val="-7"/>
          <w:sz w:val="22"/>
          <w:szCs w:val="22"/>
        </w:rPr>
        <w:t xml:space="preserve"> </w:t>
      </w:r>
      <w:proofErr w:type="spellStart"/>
      <w:r w:rsidR="00493E9B" w:rsidRPr="00CC7A13">
        <w:rPr>
          <w:sz w:val="22"/>
          <w:szCs w:val="22"/>
        </w:rPr>
        <w:t>ENERYA’ya</w:t>
      </w:r>
      <w:proofErr w:type="spellEnd"/>
      <w:r w:rsidR="00493E9B" w:rsidRPr="00CC7A13">
        <w:rPr>
          <w:spacing w:val="-9"/>
          <w:sz w:val="22"/>
          <w:szCs w:val="22"/>
        </w:rPr>
        <w:t xml:space="preserve"> </w:t>
      </w:r>
      <w:proofErr w:type="spellStart"/>
      <w:r w:rsidR="00493E9B" w:rsidRPr="00CC7A13">
        <w:rPr>
          <w:sz w:val="22"/>
          <w:szCs w:val="22"/>
        </w:rPr>
        <w:t>fiili</w:t>
      </w:r>
      <w:proofErr w:type="spellEnd"/>
      <w:r w:rsidR="00493E9B" w:rsidRPr="00CC7A13">
        <w:rPr>
          <w:spacing w:val="-8"/>
          <w:sz w:val="22"/>
          <w:szCs w:val="22"/>
        </w:rPr>
        <w:t xml:space="preserve"> </w:t>
      </w:r>
      <w:proofErr w:type="spellStart"/>
      <w:r w:rsidR="00493E9B" w:rsidRPr="00CC7A13">
        <w:rPr>
          <w:sz w:val="22"/>
          <w:szCs w:val="22"/>
        </w:rPr>
        <w:t>tebligat</w:t>
      </w:r>
      <w:proofErr w:type="spellEnd"/>
      <w:r w:rsidR="00493E9B" w:rsidRPr="00CC7A13">
        <w:rPr>
          <w:spacing w:val="-7"/>
          <w:sz w:val="22"/>
          <w:szCs w:val="22"/>
        </w:rPr>
        <w:t xml:space="preserve"> </w:t>
      </w:r>
      <w:proofErr w:type="spellStart"/>
      <w:r w:rsidR="00493E9B" w:rsidRPr="00CC7A13">
        <w:rPr>
          <w:sz w:val="22"/>
          <w:szCs w:val="22"/>
        </w:rPr>
        <w:t>yolu</w:t>
      </w:r>
      <w:proofErr w:type="spellEnd"/>
      <w:r w:rsidR="00493E9B" w:rsidRPr="00CC7A13">
        <w:rPr>
          <w:spacing w:val="-6"/>
          <w:sz w:val="22"/>
          <w:szCs w:val="22"/>
        </w:rPr>
        <w:t xml:space="preserve"> </w:t>
      </w:r>
      <w:proofErr w:type="spellStart"/>
      <w:r w:rsidR="00493E9B" w:rsidRPr="00CC7A13">
        <w:rPr>
          <w:sz w:val="22"/>
          <w:szCs w:val="22"/>
        </w:rPr>
        <w:t>ile</w:t>
      </w:r>
      <w:proofErr w:type="spellEnd"/>
      <w:r w:rsidR="00493E9B" w:rsidRPr="00CC7A13">
        <w:rPr>
          <w:spacing w:val="-9"/>
          <w:sz w:val="22"/>
          <w:szCs w:val="22"/>
        </w:rPr>
        <w:t xml:space="preserve"> </w:t>
      </w:r>
      <w:proofErr w:type="spellStart"/>
      <w:r w:rsidR="00493E9B" w:rsidRPr="00CC7A13">
        <w:rPr>
          <w:sz w:val="22"/>
          <w:szCs w:val="22"/>
        </w:rPr>
        <w:t>beraber</w:t>
      </w:r>
      <w:proofErr w:type="spellEnd"/>
      <w:r w:rsidR="00493E9B" w:rsidRPr="00CC7A13">
        <w:rPr>
          <w:spacing w:val="-7"/>
          <w:sz w:val="22"/>
          <w:szCs w:val="22"/>
        </w:rPr>
        <w:t xml:space="preserve"> </w:t>
      </w:r>
      <w:r w:rsidR="00493E9B" w:rsidRPr="00CC7A13">
        <w:rPr>
          <w:sz w:val="22"/>
          <w:szCs w:val="22"/>
        </w:rPr>
        <w:t>e-</w:t>
      </w:r>
      <w:proofErr w:type="spellStart"/>
      <w:r w:rsidR="00493E9B" w:rsidRPr="00CC7A13">
        <w:rPr>
          <w:sz w:val="22"/>
          <w:szCs w:val="22"/>
        </w:rPr>
        <w:t>posta</w:t>
      </w:r>
      <w:proofErr w:type="spellEnd"/>
      <w:r w:rsidR="00493E9B" w:rsidRPr="00CC7A13">
        <w:rPr>
          <w:spacing w:val="-9"/>
          <w:sz w:val="22"/>
          <w:szCs w:val="22"/>
        </w:rPr>
        <w:t xml:space="preserve"> </w:t>
      </w:r>
      <w:proofErr w:type="spellStart"/>
      <w:r w:rsidR="00493E9B" w:rsidRPr="00CC7A13">
        <w:rPr>
          <w:sz w:val="22"/>
          <w:szCs w:val="22"/>
        </w:rPr>
        <w:t>veya</w:t>
      </w:r>
      <w:proofErr w:type="spellEnd"/>
      <w:r w:rsidR="00493E9B" w:rsidRPr="00CC7A13">
        <w:rPr>
          <w:sz w:val="22"/>
          <w:szCs w:val="22"/>
        </w:rPr>
        <w:t xml:space="preserve"> </w:t>
      </w:r>
      <w:proofErr w:type="spellStart"/>
      <w:r w:rsidR="00493E9B" w:rsidRPr="00CC7A13">
        <w:rPr>
          <w:sz w:val="22"/>
          <w:szCs w:val="22"/>
        </w:rPr>
        <w:t>faks</w:t>
      </w:r>
      <w:proofErr w:type="spellEnd"/>
      <w:r w:rsidR="00493E9B" w:rsidRPr="00CC7A13">
        <w:rPr>
          <w:sz w:val="22"/>
          <w:szCs w:val="22"/>
        </w:rPr>
        <w:t xml:space="preserve"> </w:t>
      </w:r>
      <w:proofErr w:type="spellStart"/>
      <w:r w:rsidR="00493E9B" w:rsidRPr="00CC7A13">
        <w:rPr>
          <w:sz w:val="22"/>
          <w:szCs w:val="22"/>
        </w:rPr>
        <w:t>aracılığıyla</w:t>
      </w:r>
      <w:proofErr w:type="spellEnd"/>
      <w:r w:rsidR="00493E9B" w:rsidRPr="00CC7A13">
        <w:rPr>
          <w:sz w:val="22"/>
          <w:szCs w:val="22"/>
        </w:rPr>
        <w:t xml:space="preserve"> da </w:t>
      </w:r>
      <w:proofErr w:type="spellStart"/>
      <w:r w:rsidR="00493E9B" w:rsidRPr="00CC7A13">
        <w:rPr>
          <w:sz w:val="22"/>
          <w:szCs w:val="22"/>
        </w:rPr>
        <w:t>iletmekle</w:t>
      </w:r>
      <w:proofErr w:type="spellEnd"/>
      <w:r w:rsidR="00493E9B" w:rsidRPr="00CC7A13">
        <w:rPr>
          <w:spacing w:val="-7"/>
          <w:sz w:val="22"/>
          <w:szCs w:val="22"/>
        </w:rPr>
        <w:t xml:space="preserve"> </w:t>
      </w:r>
      <w:proofErr w:type="spellStart"/>
      <w:r w:rsidR="00493E9B" w:rsidRPr="00CC7A13">
        <w:rPr>
          <w:sz w:val="22"/>
          <w:szCs w:val="22"/>
        </w:rPr>
        <w:t>yükümlüdür</w:t>
      </w:r>
      <w:proofErr w:type="spellEnd"/>
      <w:r w:rsidR="00493E9B" w:rsidRPr="00CC7A13">
        <w:rPr>
          <w:sz w:val="22"/>
          <w:szCs w:val="22"/>
        </w:rPr>
        <w:t>.</w:t>
      </w:r>
    </w:p>
    <w:p w:rsidR="00145087" w:rsidRDefault="00493E9B">
      <w:pPr>
        <w:pStyle w:val="GvdeMetni"/>
        <w:spacing w:before="202"/>
        <w:jc w:val="both"/>
        <w:rPr>
          <w:sz w:val="22"/>
          <w:szCs w:val="22"/>
        </w:rPr>
      </w:pPr>
      <w:proofErr w:type="spellStart"/>
      <w:r w:rsidRPr="00CC7A13">
        <w:rPr>
          <w:sz w:val="22"/>
          <w:szCs w:val="22"/>
        </w:rPr>
        <w:t>Faturalar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düzenlenip</w:t>
      </w:r>
      <w:proofErr w:type="spellEnd"/>
      <w:r w:rsidRPr="00CC7A13">
        <w:rPr>
          <w:sz w:val="22"/>
          <w:szCs w:val="22"/>
        </w:rPr>
        <w:t xml:space="preserve"> </w:t>
      </w:r>
      <w:proofErr w:type="spellStart"/>
      <w:r w:rsidRPr="00CC7A13">
        <w:rPr>
          <w:sz w:val="22"/>
          <w:szCs w:val="22"/>
        </w:rPr>
        <w:t>ödemeler</w:t>
      </w:r>
      <w:proofErr w:type="spellEnd"/>
      <w:r w:rsidRPr="00CC7A13">
        <w:rPr>
          <w:sz w:val="22"/>
          <w:szCs w:val="22"/>
        </w:rPr>
        <w:t xml:space="preserve"> TL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yapılacaktır</w:t>
      </w:r>
      <w:proofErr w:type="spellEnd"/>
      <w:r w:rsidRPr="00CC7A13">
        <w:rPr>
          <w:sz w:val="22"/>
          <w:szCs w:val="22"/>
        </w:rPr>
        <w:t>.</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ENERYA’nın LNG talebinin karşılanamaması durumunda, ENERYA’nın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Default="004D07A7" w:rsidP="004D07A7">
      <w:pPr>
        <w:pStyle w:val="GvdeMetni"/>
        <w:spacing w:before="202"/>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Pr="004D07A7" w:rsidRDefault="004D07A7" w:rsidP="004D07A7">
      <w:pPr>
        <w:pStyle w:val="GvdeMetni"/>
        <w:spacing w:before="202"/>
        <w:ind w:left="567"/>
        <w:jc w:val="both"/>
        <w:rPr>
          <w:sz w:val="22"/>
          <w:szCs w:val="22"/>
        </w:rPr>
        <w:sectPr w:rsidR="004D07A7" w:rsidRPr="004D07A7">
          <w:pgSz w:w="11900" w:h="16840"/>
          <w:pgMar w:top="1600" w:right="1300" w:bottom="960" w:left="1260" w:header="0" w:footer="777" w:gutter="0"/>
          <w:cols w:space="708"/>
        </w:sect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içerisinde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C254B0">
        <w:rPr>
          <w:rFonts w:eastAsia="Times New Roman" w:cs="Times New Roman"/>
          <w:bCs/>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Sözleşme konusu işte ALT YÜKLENİCİ çalıştırılması ENERYA’nın yazılı onayına tabi olup, ENERYA’nın yazılı onayı olmaksızın ALT YÜKLENİCİ çalıştırılamaz.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Pr="00C254B0" w:rsidRDefault="00C254B0" w:rsidP="00C254B0">
      <w:pPr>
        <w:widowControl/>
        <w:autoSpaceDE/>
        <w:autoSpaceDN/>
        <w:spacing w:before="200" w:after="200"/>
        <w:jc w:val="both"/>
        <w:rPr>
          <w:rFonts w:eastAsia="Times New Roman" w:cs="Times New Roman"/>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lastRenderedPageBreak/>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A74A54">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ENERYA’nın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w:t>
      </w:r>
      <w:r w:rsidRPr="00C254B0">
        <w:rPr>
          <w:rFonts w:eastAsia="Times New Roman" w:cs="Times New Roman"/>
          <w:bCs/>
          <w:lang w:val="tr-TR"/>
        </w:rPr>
        <w:lastRenderedPageBreak/>
        <w:t xml:space="preserve">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SÖZLEŞMENİN FESHİ:</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C254B0" w:rsidRDefault="00C254B0" w:rsidP="00594E3D">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C254B0" w:rsidRPr="00C254B0" w:rsidRDefault="00C254B0" w:rsidP="00594E3D">
      <w:pPr>
        <w:widowControl/>
        <w:autoSpaceDE/>
        <w:autoSpaceDN/>
        <w:spacing w:before="210" w:after="210"/>
        <w:ind w:left="570"/>
        <w:jc w:val="both"/>
        <w:rPr>
          <w:rFonts w:eastAsia="Times New Roman" w:cs="Times New Roman"/>
          <w:bCs/>
          <w:lang w:val="tr-TR"/>
        </w:rPr>
      </w:pPr>
    </w:p>
    <w:p w:rsidR="00C254B0" w:rsidRDefault="00C254B0" w:rsidP="00594E3D">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A74A54" w:rsidRPr="00C254B0" w:rsidRDefault="00A74A54" w:rsidP="00594E3D">
      <w:pPr>
        <w:widowControl/>
        <w:tabs>
          <w:tab w:val="left" w:pos="567"/>
        </w:tabs>
        <w:autoSpaceDE/>
        <w:autoSpaceDN/>
        <w:spacing w:before="210" w:after="210"/>
        <w:ind w:left="570"/>
        <w:jc w:val="both"/>
        <w:rPr>
          <w:rFonts w:eastAsia="Times New Roman" w:cs="Times New Roman"/>
          <w:b/>
          <w:lang w:val="tr-TR"/>
        </w:rPr>
      </w:pP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lastRenderedPageBreak/>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hak ve alacak talebinde bulunamaz.</w:t>
      </w:r>
    </w:p>
    <w:p w:rsidR="00A74A54" w:rsidRPr="00C254B0" w:rsidRDefault="00A74A54" w:rsidP="00A74A54">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Pr="00C254B0" w:rsidRDefault="00C254B0" w:rsidP="00C254B0">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Pr="00C254B0" w:rsidRDefault="00C254B0" w:rsidP="00A74A54">
      <w:pPr>
        <w:widowControl/>
        <w:autoSpaceDE/>
        <w:autoSpaceDN/>
        <w:spacing w:before="200" w:after="200"/>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ind w:left="567"/>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594E3D" w:rsidRDefault="00594E3D" w:rsidP="00594E3D">
      <w:pPr>
        <w:widowControl/>
        <w:autoSpaceDE/>
        <w:autoSpaceDN/>
        <w:spacing w:before="200" w:after="200"/>
        <w:ind w:left="720"/>
        <w:jc w:val="both"/>
        <w:rPr>
          <w:rFonts w:eastAsia="Times New Roman" w:cs="Times New Roman"/>
          <w:bCs/>
          <w:lang w:val="tr-TR"/>
        </w:rPr>
      </w:pPr>
    </w:p>
    <w:p w:rsidR="00594E3D" w:rsidRDefault="00594E3D" w:rsidP="00594E3D">
      <w:pPr>
        <w:widowControl/>
        <w:autoSpaceDE/>
        <w:autoSpaceDN/>
        <w:spacing w:before="200" w:after="200"/>
        <w:ind w:left="720"/>
        <w:jc w:val="both"/>
        <w:rPr>
          <w:rFonts w:eastAsia="Times New Roman" w:cs="Times New Roman"/>
          <w:bCs/>
          <w:lang w:val="tr-TR"/>
        </w:rPr>
      </w:pPr>
    </w:p>
    <w:p w:rsidR="00594E3D" w:rsidRPr="00C254B0" w:rsidRDefault="00594E3D" w:rsidP="00594E3D">
      <w:pPr>
        <w:widowControl/>
        <w:autoSpaceDE/>
        <w:autoSpaceDN/>
        <w:spacing w:before="200" w:after="200"/>
        <w:ind w:left="720"/>
        <w:jc w:val="both"/>
        <w:rPr>
          <w:rFonts w:eastAsia="Times New Roman" w:cs="Times New Roman"/>
          <w:bCs/>
          <w:lang w:val="tr-TR"/>
        </w:rPr>
      </w:pPr>
    </w:p>
    <w:p w:rsidR="00C254B0" w:rsidRPr="00C254B0"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lastRenderedPageBreak/>
        <w:t>İşbu Sözleşme ve eklerinde çelişki olması halinde hangi hükmün uygulanacağı hususunda YÜKLENİCİ, ENERYA’nın kararına itibar edilecektir.</w:t>
      </w:r>
    </w:p>
    <w:p w:rsidR="00C254B0" w:rsidRPr="00C254B0" w:rsidRDefault="00C254B0" w:rsidP="00C254B0">
      <w:pPr>
        <w:widowControl/>
        <w:autoSpaceDE/>
        <w:autoSpaceDN/>
        <w:spacing w:before="200" w:after="200"/>
        <w:jc w:val="both"/>
        <w:rPr>
          <w:rFonts w:eastAsia="Times New Roman" w:cs="Times New Roman"/>
          <w:bCs/>
          <w:lang w:val="tr-TR"/>
        </w:rPr>
      </w:pPr>
    </w:p>
    <w:p w:rsidR="00C254B0" w:rsidRPr="00C254B0" w:rsidRDefault="00C254B0" w:rsidP="00C254B0">
      <w:pPr>
        <w:widowControl/>
        <w:autoSpaceDE/>
        <w:autoSpaceDN/>
        <w:spacing w:before="200" w:after="200"/>
        <w:jc w:val="both"/>
        <w:rPr>
          <w:rFonts w:eastAsia="Times New Roman" w:cs="Times New Roman"/>
          <w:bCs/>
          <w:lang w:val="tr-TR"/>
        </w:rPr>
      </w:pP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493E9B">
      <w:pPr>
        <w:tabs>
          <w:tab w:val="left" w:pos="6635"/>
        </w:tabs>
        <w:spacing w:before="178"/>
        <w:ind w:left="155"/>
        <w:rPr>
          <w:sz w:val="24"/>
        </w:rPr>
      </w:pPr>
      <w:r>
        <w:rPr>
          <w:b/>
          <w:sz w:val="24"/>
        </w:rPr>
        <w:t>ENERYA KONYA GAZ</w:t>
      </w:r>
      <w:r>
        <w:rPr>
          <w:b/>
          <w:spacing w:val="-5"/>
          <w:sz w:val="24"/>
        </w:rPr>
        <w:t xml:space="preserve"> </w:t>
      </w:r>
      <w:r>
        <w:rPr>
          <w:b/>
          <w:sz w:val="24"/>
        </w:rPr>
        <w:t>DAĞITIM</w:t>
      </w:r>
      <w:r>
        <w:rPr>
          <w:b/>
          <w:spacing w:val="-4"/>
          <w:sz w:val="24"/>
        </w:rPr>
        <w:t xml:space="preserve"> </w:t>
      </w:r>
      <w:r>
        <w:rPr>
          <w:b/>
          <w:sz w:val="24"/>
        </w:rPr>
        <w:t>A.Ş.</w:t>
      </w:r>
      <w:r>
        <w:rPr>
          <w:b/>
          <w:sz w:val="24"/>
        </w:rPr>
        <w:tab/>
      </w:r>
      <w:r>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145087" w:rsidRDefault="00493E9B">
      <w:pPr>
        <w:pStyle w:val="Balk1"/>
      </w:pPr>
      <w:r>
        <w:lastRenderedPageBreak/>
        <w:t>EK 2. TESLİM NOKTASI VE TESLİM MİKTARI</w:t>
      </w:r>
    </w:p>
    <w:p w:rsidR="00145087" w:rsidRPr="00B752B9" w:rsidRDefault="005D41F3" w:rsidP="00F10DE5">
      <w:pPr>
        <w:pStyle w:val="GvdeMetni"/>
        <w:numPr>
          <w:ilvl w:val="0"/>
          <w:numId w:val="5"/>
        </w:numPr>
        <w:spacing w:before="54"/>
        <w:rPr>
          <w:color w:val="000000" w:themeColor="text1"/>
        </w:rPr>
      </w:pPr>
      <w:proofErr w:type="spellStart"/>
      <w:r w:rsidRPr="00B752B9">
        <w:rPr>
          <w:color w:val="000000" w:themeColor="text1"/>
        </w:rPr>
        <w:t>Bozkır</w:t>
      </w:r>
      <w:proofErr w:type="spellEnd"/>
      <w:r w:rsidRPr="00B752B9">
        <w:rPr>
          <w:color w:val="000000" w:themeColor="text1"/>
        </w:rPr>
        <w:t xml:space="preserve"> </w:t>
      </w:r>
      <w:proofErr w:type="spellStart"/>
      <w:r w:rsidR="00493E9B" w:rsidRPr="00B752B9">
        <w:rPr>
          <w:color w:val="000000" w:themeColor="text1"/>
        </w:rPr>
        <w:t>Teslim</w:t>
      </w:r>
      <w:proofErr w:type="spellEnd"/>
      <w:r w:rsidR="00493E9B" w:rsidRPr="00B752B9">
        <w:rPr>
          <w:color w:val="000000" w:themeColor="text1"/>
          <w:spacing w:val="-4"/>
        </w:rPr>
        <w:t xml:space="preserve"> </w:t>
      </w:r>
      <w:proofErr w:type="spellStart"/>
      <w:r w:rsidR="00493E9B" w:rsidRPr="00B752B9">
        <w:rPr>
          <w:color w:val="000000" w:themeColor="text1"/>
        </w:rPr>
        <w:t>Noktası</w:t>
      </w:r>
      <w:proofErr w:type="spellEnd"/>
      <w:r w:rsidR="00493E9B" w:rsidRPr="00B752B9">
        <w:rPr>
          <w:color w:val="000000" w:themeColor="text1"/>
          <w:spacing w:val="-1"/>
        </w:rPr>
        <w:t xml:space="preserve"> </w:t>
      </w:r>
      <w:proofErr w:type="spellStart"/>
      <w:r w:rsidR="00F10DE5" w:rsidRPr="00B752B9">
        <w:rPr>
          <w:color w:val="000000" w:themeColor="text1"/>
        </w:rPr>
        <w:t>Adres</w:t>
      </w:r>
      <w:proofErr w:type="spellEnd"/>
      <w:r w:rsidR="00F10DE5" w:rsidRPr="00B752B9">
        <w:rPr>
          <w:color w:val="000000" w:themeColor="text1"/>
        </w:rPr>
        <w:tab/>
      </w:r>
      <w:r w:rsidR="00F10DE5" w:rsidRPr="00B752B9">
        <w:rPr>
          <w:color w:val="000000" w:themeColor="text1"/>
        </w:rPr>
        <w:tab/>
        <w:t xml:space="preserve">: </w:t>
      </w:r>
      <w:proofErr w:type="spellStart"/>
      <w:r w:rsidRPr="00B752B9">
        <w:rPr>
          <w:color w:val="000000" w:themeColor="text1"/>
        </w:rPr>
        <w:t>Cumhuriyet</w:t>
      </w:r>
      <w:proofErr w:type="spellEnd"/>
      <w:r w:rsidRPr="00B752B9">
        <w:rPr>
          <w:color w:val="000000" w:themeColor="text1"/>
        </w:rPr>
        <w:t xml:space="preserve"> </w:t>
      </w:r>
      <w:proofErr w:type="spellStart"/>
      <w:r w:rsidRPr="00B752B9">
        <w:rPr>
          <w:color w:val="000000" w:themeColor="text1"/>
        </w:rPr>
        <w:t>Mahallesi</w:t>
      </w:r>
      <w:proofErr w:type="spellEnd"/>
      <w:r w:rsidRPr="00B752B9">
        <w:rPr>
          <w:color w:val="000000" w:themeColor="text1"/>
        </w:rPr>
        <w:t xml:space="preserve"> 52010.Sokak</w:t>
      </w:r>
      <w:r w:rsidR="00253BB1" w:rsidRPr="00B752B9">
        <w:rPr>
          <w:color w:val="000000" w:themeColor="text1"/>
        </w:rPr>
        <w:t xml:space="preserve"> ,</w:t>
      </w:r>
      <w:r w:rsidR="00253BB1"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r>
      <w:r w:rsidR="00F10DE5" w:rsidRPr="00B752B9">
        <w:rPr>
          <w:color w:val="000000" w:themeColor="text1"/>
        </w:rPr>
        <w:tab/>
        <w:t xml:space="preserve">   </w:t>
      </w:r>
      <w:proofErr w:type="spellStart"/>
      <w:r w:rsidRPr="00B752B9">
        <w:rPr>
          <w:color w:val="000000" w:themeColor="text1"/>
        </w:rPr>
        <w:t>Bozkır</w:t>
      </w:r>
      <w:proofErr w:type="spellEnd"/>
      <w:r w:rsidR="00493E9B" w:rsidRPr="00B752B9">
        <w:rPr>
          <w:color w:val="000000" w:themeColor="text1"/>
        </w:rPr>
        <w:t>, Konya</w:t>
      </w:r>
    </w:p>
    <w:p w:rsidR="00F10DE5" w:rsidRPr="00B752B9" w:rsidRDefault="00F10DE5" w:rsidP="00F10DE5">
      <w:pPr>
        <w:pStyle w:val="GvdeMetni"/>
        <w:numPr>
          <w:ilvl w:val="0"/>
          <w:numId w:val="5"/>
        </w:numPr>
        <w:spacing w:before="54"/>
        <w:rPr>
          <w:color w:val="000000" w:themeColor="text1"/>
        </w:rPr>
      </w:pPr>
      <w:proofErr w:type="spellStart"/>
      <w:r w:rsidRPr="00B752B9">
        <w:rPr>
          <w:color w:val="000000" w:themeColor="text1"/>
        </w:rPr>
        <w:t>Cihanbeyli</w:t>
      </w:r>
      <w:proofErr w:type="spellEnd"/>
      <w:r w:rsidRPr="00B752B9">
        <w:rPr>
          <w:color w:val="000000" w:themeColor="text1"/>
        </w:rPr>
        <w:t xml:space="preserve"> </w:t>
      </w:r>
      <w:proofErr w:type="spellStart"/>
      <w:r w:rsidRPr="00B752B9">
        <w:rPr>
          <w:color w:val="000000" w:themeColor="text1"/>
        </w:rPr>
        <w:t>Teslim</w:t>
      </w:r>
      <w:proofErr w:type="spellEnd"/>
      <w:r w:rsidRPr="00B752B9">
        <w:rPr>
          <w:color w:val="000000" w:themeColor="text1"/>
        </w:rPr>
        <w:t xml:space="preserve"> </w:t>
      </w:r>
      <w:proofErr w:type="spellStart"/>
      <w:r w:rsidRPr="00B752B9">
        <w:rPr>
          <w:color w:val="000000" w:themeColor="text1"/>
        </w:rPr>
        <w:t>Noktası</w:t>
      </w:r>
      <w:proofErr w:type="spellEnd"/>
      <w:r w:rsidRPr="00B752B9">
        <w:rPr>
          <w:color w:val="000000" w:themeColor="text1"/>
        </w:rPr>
        <w:t xml:space="preserve"> </w:t>
      </w:r>
      <w:proofErr w:type="spellStart"/>
      <w:r w:rsidRPr="00B752B9">
        <w:rPr>
          <w:color w:val="000000" w:themeColor="text1"/>
        </w:rPr>
        <w:t>Adres</w:t>
      </w:r>
      <w:proofErr w:type="spellEnd"/>
      <w:r w:rsidRPr="00B752B9">
        <w:rPr>
          <w:color w:val="000000" w:themeColor="text1"/>
        </w:rPr>
        <w:t xml:space="preserve"> </w:t>
      </w:r>
      <w:r w:rsidRPr="00B752B9">
        <w:rPr>
          <w:color w:val="000000" w:themeColor="text1"/>
        </w:rPr>
        <w:tab/>
        <w:t xml:space="preserve">: </w:t>
      </w:r>
      <w:proofErr w:type="spellStart"/>
      <w:r w:rsidRPr="00B752B9">
        <w:rPr>
          <w:color w:val="000000" w:themeColor="text1"/>
        </w:rPr>
        <w:t>Atçeken</w:t>
      </w:r>
      <w:proofErr w:type="spellEnd"/>
      <w:r w:rsidRPr="00B752B9">
        <w:rPr>
          <w:color w:val="000000" w:themeColor="text1"/>
        </w:rPr>
        <w:t xml:space="preserve"> </w:t>
      </w:r>
      <w:proofErr w:type="spellStart"/>
      <w:r w:rsidRPr="00B752B9">
        <w:rPr>
          <w:color w:val="000000" w:themeColor="text1"/>
        </w:rPr>
        <w:t>Mahallesi</w:t>
      </w:r>
      <w:proofErr w:type="spellEnd"/>
      <w:r w:rsidRPr="00B752B9">
        <w:rPr>
          <w:color w:val="000000" w:themeColor="text1"/>
        </w:rPr>
        <w:t xml:space="preserve">, </w:t>
      </w:r>
    </w:p>
    <w:p w:rsidR="00F10DE5" w:rsidRPr="00B752B9" w:rsidRDefault="00F10DE5" w:rsidP="00F10DE5">
      <w:pPr>
        <w:pStyle w:val="GvdeMetni"/>
        <w:spacing w:before="54"/>
        <w:ind w:left="5040"/>
        <w:rPr>
          <w:color w:val="000000" w:themeColor="text1"/>
        </w:rPr>
      </w:pPr>
      <w:r w:rsidRPr="00B752B9">
        <w:rPr>
          <w:color w:val="000000" w:themeColor="text1"/>
        </w:rPr>
        <w:t xml:space="preserve">   </w:t>
      </w:r>
      <w:proofErr w:type="spellStart"/>
      <w:r w:rsidRPr="00B752B9">
        <w:rPr>
          <w:color w:val="000000" w:themeColor="text1"/>
        </w:rPr>
        <w:t>Cihanbeyli</w:t>
      </w:r>
      <w:proofErr w:type="spellEnd"/>
      <w:r w:rsidRPr="00B752B9">
        <w:rPr>
          <w:color w:val="000000" w:themeColor="text1"/>
        </w:rPr>
        <w:t xml:space="preserve">, Konya </w:t>
      </w:r>
    </w:p>
    <w:p w:rsidR="005952E2" w:rsidRPr="00B752B9" w:rsidRDefault="005952E2" w:rsidP="00253BB1">
      <w:pPr>
        <w:pStyle w:val="GvdeMetni"/>
        <w:spacing w:before="54"/>
        <w:ind w:left="1815"/>
        <w:rPr>
          <w:color w:val="000000" w:themeColor="text1"/>
        </w:rPr>
      </w:pPr>
    </w:p>
    <w:p w:rsidR="00145087" w:rsidRDefault="00145087">
      <w:pPr>
        <w:pStyle w:val="GvdeMetni"/>
        <w:spacing w:before="9"/>
        <w:ind w:left="0"/>
        <w:rPr>
          <w:sz w:val="23"/>
        </w:rPr>
      </w:pPr>
    </w:p>
    <w:tbl>
      <w:tblPr>
        <w:tblW w:w="7682" w:type="dxa"/>
        <w:tblCellMar>
          <w:left w:w="70" w:type="dxa"/>
          <w:right w:w="70" w:type="dxa"/>
        </w:tblCellMar>
        <w:tblLook w:val="04A0" w:firstRow="1" w:lastRow="0" w:firstColumn="1" w:lastColumn="0" w:noHBand="0" w:noVBand="1"/>
      </w:tblPr>
      <w:tblGrid>
        <w:gridCol w:w="1602"/>
        <w:gridCol w:w="1580"/>
        <w:gridCol w:w="2240"/>
        <w:gridCol w:w="2260"/>
      </w:tblGrid>
      <w:tr w:rsidR="002822C4" w:rsidRPr="002822C4" w:rsidTr="002822C4">
        <w:trPr>
          <w:trHeight w:val="345"/>
        </w:trPr>
        <w:tc>
          <w:tcPr>
            <w:tcW w:w="16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22C4" w:rsidRPr="002822C4" w:rsidRDefault="002822C4" w:rsidP="002822C4">
            <w:pPr>
              <w:widowControl/>
              <w:autoSpaceDE/>
              <w:autoSpaceDN/>
              <w:jc w:val="center"/>
              <w:rPr>
                <w:rFonts w:eastAsia="Times New Roman" w:cs="Calibri"/>
                <w:b/>
                <w:bCs/>
                <w:color w:val="000000"/>
                <w:lang w:val="tr-TR" w:eastAsia="tr-TR"/>
              </w:rPr>
            </w:pPr>
            <w:r w:rsidRPr="002822C4">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22C4" w:rsidRPr="002822C4" w:rsidRDefault="002822C4" w:rsidP="002822C4">
            <w:pPr>
              <w:widowControl/>
              <w:autoSpaceDE/>
              <w:autoSpaceDN/>
              <w:jc w:val="center"/>
              <w:rPr>
                <w:rFonts w:eastAsia="Times New Roman" w:cs="Calibri"/>
                <w:b/>
                <w:bCs/>
                <w:color w:val="000000"/>
                <w:lang w:val="tr-TR" w:eastAsia="tr-TR"/>
              </w:rPr>
            </w:pPr>
            <w:r w:rsidRPr="002822C4">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shd w:val="clear" w:color="auto" w:fill="auto"/>
            <w:noWrap/>
            <w:vAlign w:val="center"/>
            <w:hideMark/>
          </w:tcPr>
          <w:p w:rsidR="002822C4" w:rsidRPr="002822C4" w:rsidRDefault="002822C4" w:rsidP="002822C4">
            <w:pPr>
              <w:widowControl/>
              <w:autoSpaceDE/>
              <w:autoSpaceDN/>
              <w:jc w:val="center"/>
              <w:rPr>
                <w:rFonts w:eastAsia="Times New Roman" w:cs="Calibri"/>
                <w:b/>
                <w:bCs/>
                <w:color w:val="000000"/>
                <w:lang w:val="tr-TR" w:eastAsia="tr-TR"/>
              </w:rPr>
            </w:pPr>
            <w:r w:rsidRPr="002822C4">
              <w:rPr>
                <w:rFonts w:eastAsia="Times New Roman" w:cs="Calibri"/>
                <w:b/>
                <w:bCs/>
                <w:color w:val="000000"/>
                <w:lang w:val="tr-TR" w:eastAsia="tr-TR"/>
              </w:rPr>
              <w:t xml:space="preserve">TESLİM </w:t>
            </w:r>
            <w:proofErr w:type="gramStart"/>
            <w:r w:rsidRPr="002822C4">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shd w:val="clear" w:color="auto" w:fill="auto"/>
            <w:noWrap/>
            <w:vAlign w:val="center"/>
            <w:hideMark/>
          </w:tcPr>
          <w:p w:rsidR="002822C4" w:rsidRPr="002822C4" w:rsidRDefault="002822C4" w:rsidP="002822C4">
            <w:pPr>
              <w:widowControl/>
              <w:autoSpaceDE/>
              <w:autoSpaceDN/>
              <w:jc w:val="center"/>
              <w:rPr>
                <w:rFonts w:eastAsia="Times New Roman" w:cs="Calibri"/>
                <w:b/>
                <w:bCs/>
                <w:color w:val="000000"/>
                <w:lang w:val="tr-TR" w:eastAsia="tr-TR"/>
              </w:rPr>
            </w:pPr>
            <w:r w:rsidRPr="002822C4">
              <w:rPr>
                <w:rFonts w:eastAsia="Times New Roman" w:cs="Calibri"/>
                <w:b/>
                <w:bCs/>
                <w:color w:val="000000"/>
                <w:lang w:val="tr-TR" w:eastAsia="tr-TR"/>
              </w:rPr>
              <w:t xml:space="preserve">TESLİM </w:t>
            </w:r>
            <w:proofErr w:type="gramStart"/>
            <w:r w:rsidRPr="002822C4">
              <w:rPr>
                <w:rFonts w:eastAsia="Times New Roman" w:cs="Calibri"/>
                <w:b/>
                <w:bCs/>
                <w:color w:val="000000"/>
                <w:lang w:val="tr-TR" w:eastAsia="tr-TR"/>
              </w:rPr>
              <w:t>NOKTASI ;</w:t>
            </w:r>
            <w:proofErr w:type="gramEnd"/>
          </w:p>
        </w:tc>
      </w:tr>
      <w:tr w:rsidR="002822C4" w:rsidRPr="002822C4" w:rsidTr="002822C4">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2822C4" w:rsidRPr="002822C4" w:rsidRDefault="002822C4" w:rsidP="002822C4">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2822C4" w:rsidRPr="002822C4" w:rsidRDefault="002822C4" w:rsidP="002822C4">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hideMark/>
          </w:tcPr>
          <w:p w:rsidR="002822C4" w:rsidRPr="002822C4" w:rsidRDefault="002822C4" w:rsidP="002822C4">
            <w:pPr>
              <w:widowControl/>
              <w:autoSpaceDE/>
              <w:autoSpaceDN/>
              <w:jc w:val="center"/>
              <w:rPr>
                <w:rFonts w:eastAsia="Times New Roman" w:cs="Calibri"/>
                <w:b/>
                <w:bCs/>
                <w:color w:val="000000"/>
                <w:lang w:val="tr-TR" w:eastAsia="tr-TR"/>
              </w:rPr>
            </w:pPr>
            <w:r w:rsidRPr="002822C4">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shd w:val="clear" w:color="auto" w:fill="auto"/>
            <w:noWrap/>
            <w:hideMark/>
          </w:tcPr>
          <w:p w:rsidR="002822C4" w:rsidRPr="002822C4" w:rsidRDefault="002822C4" w:rsidP="002822C4">
            <w:pPr>
              <w:widowControl/>
              <w:autoSpaceDE/>
              <w:autoSpaceDN/>
              <w:jc w:val="center"/>
              <w:rPr>
                <w:rFonts w:eastAsia="Times New Roman" w:cs="Calibri"/>
                <w:b/>
                <w:bCs/>
                <w:color w:val="000000"/>
                <w:lang w:val="tr-TR" w:eastAsia="tr-TR"/>
              </w:rPr>
            </w:pPr>
            <w:r w:rsidRPr="002822C4">
              <w:rPr>
                <w:rFonts w:eastAsia="Times New Roman" w:cs="Calibri"/>
                <w:b/>
                <w:bCs/>
                <w:color w:val="000000"/>
                <w:lang w:val="tr-TR" w:eastAsia="tr-TR"/>
              </w:rPr>
              <w:t xml:space="preserve">CİHANBEYLİ </w:t>
            </w:r>
          </w:p>
        </w:tc>
      </w:tr>
      <w:tr w:rsidR="002822C4" w:rsidRPr="002822C4" w:rsidTr="002822C4">
        <w:trPr>
          <w:trHeight w:val="345"/>
        </w:trPr>
        <w:tc>
          <w:tcPr>
            <w:tcW w:w="1602" w:type="dxa"/>
            <w:vMerge/>
            <w:tcBorders>
              <w:top w:val="single" w:sz="8" w:space="0" w:color="auto"/>
              <w:left w:val="single" w:sz="8" w:space="0" w:color="auto"/>
              <w:bottom w:val="single" w:sz="8" w:space="0" w:color="000000"/>
              <w:right w:val="single" w:sz="8" w:space="0" w:color="auto"/>
            </w:tcBorders>
            <w:vAlign w:val="center"/>
            <w:hideMark/>
          </w:tcPr>
          <w:p w:rsidR="002822C4" w:rsidRPr="002822C4" w:rsidRDefault="002822C4" w:rsidP="002822C4">
            <w:pPr>
              <w:widowControl/>
              <w:autoSpaceDE/>
              <w:autoSpaceDN/>
              <w:rPr>
                <w:rFonts w:eastAsia="Times New Roman" w:cs="Calibri"/>
                <w:b/>
                <w:bCs/>
                <w:color w:val="000000"/>
                <w:lang w:val="tr-TR"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2822C4" w:rsidRPr="002822C4" w:rsidRDefault="002822C4" w:rsidP="002822C4">
            <w:pPr>
              <w:widowControl/>
              <w:autoSpaceDE/>
              <w:autoSpaceDN/>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jc w:val="center"/>
              <w:rPr>
                <w:rFonts w:eastAsia="Times New Roman" w:cs="Calibri"/>
                <w:b/>
                <w:bCs/>
                <w:color w:val="000000"/>
                <w:lang w:val="tr-TR" w:eastAsia="tr-TR"/>
              </w:rPr>
            </w:pPr>
            <w:r w:rsidRPr="002822C4">
              <w:rPr>
                <w:rFonts w:eastAsia="Times New Roman" w:cs="Calibri"/>
                <w:b/>
                <w:bCs/>
                <w:color w:val="000000"/>
                <w:lang w:val="tr-TR" w:eastAsia="tr-TR"/>
              </w:rPr>
              <w:t>MİKTAR (</w:t>
            </w:r>
            <w:proofErr w:type="spellStart"/>
            <w:r w:rsidRPr="002822C4">
              <w:rPr>
                <w:rFonts w:eastAsia="Times New Roman" w:cs="Calibri"/>
                <w:b/>
                <w:bCs/>
                <w:color w:val="000000"/>
                <w:lang w:val="tr-TR" w:eastAsia="tr-TR"/>
              </w:rPr>
              <w:t>kWh</w:t>
            </w:r>
            <w:proofErr w:type="spellEnd"/>
            <w:r w:rsidRPr="002822C4">
              <w:rPr>
                <w:rFonts w:eastAsia="Times New Roman" w:cs="Calibri"/>
                <w:b/>
                <w:bCs/>
                <w:color w:val="000000"/>
                <w:lang w:val="tr-TR" w:eastAsia="tr-TR"/>
              </w:rPr>
              <w:t>)</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jc w:val="center"/>
              <w:rPr>
                <w:rFonts w:eastAsia="Times New Roman" w:cs="Calibri"/>
                <w:b/>
                <w:bCs/>
                <w:color w:val="000000"/>
                <w:lang w:val="tr-TR" w:eastAsia="tr-TR"/>
              </w:rPr>
            </w:pPr>
            <w:r w:rsidRPr="002822C4">
              <w:rPr>
                <w:rFonts w:eastAsia="Times New Roman" w:cs="Calibri"/>
                <w:b/>
                <w:bCs/>
                <w:color w:val="000000"/>
                <w:lang w:val="tr-TR" w:eastAsia="tr-TR"/>
              </w:rPr>
              <w:t>MİKTAR (</w:t>
            </w:r>
            <w:proofErr w:type="spellStart"/>
            <w:r w:rsidRPr="002822C4">
              <w:rPr>
                <w:rFonts w:eastAsia="Times New Roman" w:cs="Calibri"/>
                <w:b/>
                <w:bCs/>
                <w:color w:val="000000"/>
                <w:lang w:val="tr-TR" w:eastAsia="tr-TR"/>
              </w:rPr>
              <w:t>kWh</w:t>
            </w:r>
            <w:proofErr w:type="spellEnd"/>
            <w:r w:rsidRPr="002822C4">
              <w:rPr>
                <w:rFonts w:eastAsia="Times New Roman" w:cs="Calibri"/>
                <w:b/>
                <w:bCs/>
                <w:color w:val="000000"/>
                <w:lang w:val="tr-TR" w:eastAsia="tr-TR"/>
              </w:rPr>
              <w:t>)</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TEMMUZ</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286.256</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169.560</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AĞUSTOS</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296.503</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216.505</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EYLÜL</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318.232</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283.061</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EKİM</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1.269.694</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1.348.756</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KASIM</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4.883.174</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5.849.932</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ARALIK</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5.796.134</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7.270.207</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2021</w:t>
            </w:r>
          </w:p>
        </w:tc>
        <w:tc>
          <w:tcPr>
            <w:tcW w:w="1580" w:type="dxa"/>
            <w:tcBorders>
              <w:top w:val="nil"/>
              <w:left w:val="nil"/>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ind w:firstLineChars="100" w:firstLine="220"/>
              <w:rPr>
                <w:rFonts w:eastAsia="Times New Roman" w:cs="Calibri"/>
                <w:b/>
                <w:bCs/>
                <w:lang w:val="tr-TR" w:eastAsia="tr-TR"/>
              </w:rPr>
            </w:pPr>
            <w:r w:rsidRPr="002822C4">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r w:rsidRPr="002822C4">
              <w:rPr>
                <w:rFonts w:eastAsia="Times New Roman" w:cs="Calibri"/>
                <w:b/>
                <w:bCs/>
                <w:lang w:val="tr-TR" w:eastAsia="tr-TR"/>
              </w:rPr>
              <w:t>12.849.993</w:t>
            </w:r>
          </w:p>
        </w:tc>
        <w:tc>
          <w:tcPr>
            <w:tcW w:w="2260" w:type="dxa"/>
            <w:tcBorders>
              <w:top w:val="nil"/>
              <w:left w:val="nil"/>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r w:rsidRPr="002822C4">
              <w:rPr>
                <w:rFonts w:eastAsia="Times New Roman" w:cs="Calibri"/>
                <w:b/>
                <w:bCs/>
                <w:lang w:val="tr-TR" w:eastAsia="tr-TR"/>
              </w:rPr>
              <w:t>15.138.021</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000000" w:fill="FFFFFF"/>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000000" w:fill="FFFFFF"/>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OCAK</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8.177.769</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10.242.030</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ŞUBAT</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6.798.970</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8.508.815</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MART</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5.567.957</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6.963.037</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NİSAN</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3.558.012</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4.446.203</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MAYIS</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1.405.102</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1.758.435</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rPr>
                <w:rFonts w:eastAsia="Times New Roman" w:cs="Calibri"/>
                <w:lang w:val="tr-TR" w:eastAsia="tr-TR"/>
              </w:rPr>
            </w:pPr>
            <w:r w:rsidRPr="002822C4">
              <w:rPr>
                <w:rFonts w:eastAsia="Times New Roman" w:cs="Calibri"/>
                <w:lang w:val="tr-TR" w:eastAsia="tr-TR"/>
              </w:rPr>
              <w:t>HAZİRAN</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536.032</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lang w:val="tr-TR" w:eastAsia="tr-TR"/>
              </w:rPr>
            </w:pPr>
            <w:r w:rsidRPr="002822C4">
              <w:rPr>
                <w:rFonts w:eastAsia="Times New Roman" w:cs="Calibri"/>
                <w:lang w:val="tr-TR" w:eastAsia="tr-TR"/>
              </w:rPr>
              <w:t>680.482</w:t>
            </w:r>
          </w:p>
        </w:tc>
      </w:tr>
      <w:tr w:rsidR="002822C4" w:rsidRPr="002822C4" w:rsidTr="002822C4">
        <w:trPr>
          <w:trHeight w:val="330"/>
        </w:trPr>
        <w:tc>
          <w:tcPr>
            <w:tcW w:w="1602" w:type="dxa"/>
            <w:tcBorders>
              <w:top w:val="nil"/>
              <w:left w:val="single" w:sz="8" w:space="0" w:color="auto"/>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2022</w:t>
            </w:r>
          </w:p>
        </w:tc>
        <w:tc>
          <w:tcPr>
            <w:tcW w:w="1580" w:type="dxa"/>
            <w:tcBorders>
              <w:top w:val="nil"/>
              <w:left w:val="nil"/>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rPr>
                <w:rFonts w:eastAsia="Times New Roman" w:cs="Calibri"/>
                <w:b/>
                <w:bCs/>
                <w:lang w:val="tr-TR" w:eastAsia="tr-TR"/>
              </w:rPr>
            </w:pPr>
            <w:r w:rsidRPr="002822C4">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r w:rsidRPr="002822C4">
              <w:rPr>
                <w:rFonts w:eastAsia="Times New Roman" w:cs="Calibri"/>
                <w:b/>
                <w:bCs/>
                <w:lang w:val="tr-TR" w:eastAsia="tr-TR"/>
              </w:rPr>
              <w:t>26.043.841</w:t>
            </w:r>
          </w:p>
        </w:tc>
        <w:tc>
          <w:tcPr>
            <w:tcW w:w="2260" w:type="dxa"/>
            <w:tcBorders>
              <w:top w:val="nil"/>
              <w:left w:val="nil"/>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r w:rsidRPr="002822C4">
              <w:rPr>
                <w:rFonts w:eastAsia="Times New Roman" w:cs="Calibri"/>
                <w:b/>
                <w:bCs/>
                <w:lang w:val="tr-TR" w:eastAsia="tr-TR"/>
              </w:rPr>
              <w:t>32.599.002</w:t>
            </w:r>
          </w:p>
        </w:tc>
      </w:tr>
      <w:tr w:rsidR="002822C4" w:rsidRPr="002822C4" w:rsidTr="002822C4">
        <w:trPr>
          <w:trHeight w:val="180"/>
        </w:trPr>
        <w:tc>
          <w:tcPr>
            <w:tcW w:w="1602" w:type="dxa"/>
            <w:tcBorders>
              <w:top w:val="nil"/>
              <w:left w:val="nil"/>
              <w:bottom w:val="single" w:sz="8" w:space="0" w:color="auto"/>
              <w:right w:val="nil"/>
            </w:tcBorders>
            <w:shd w:val="clear" w:color="auto" w:fill="auto"/>
            <w:noWrap/>
            <w:vAlign w:val="center"/>
            <w:hideMark/>
          </w:tcPr>
          <w:p w:rsidR="002822C4" w:rsidRPr="002822C4" w:rsidRDefault="002822C4" w:rsidP="002822C4">
            <w:pPr>
              <w:widowControl/>
              <w:autoSpaceDE/>
              <w:autoSpaceDN/>
              <w:ind w:firstLineChars="300" w:firstLine="660"/>
              <w:rPr>
                <w:rFonts w:eastAsia="Times New Roman" w:cs="Calibri"/>
                <w:b/>
                <w:bCs/>
                <w:lang w:val="tr-TR" w:eastAsia="tr-TR"/>
              </w:rPr>
            </w:pPr>
            <w:r w:rsidRPr="002822C4">
              <w:rPr>
                <w:rFonts w:eastAsia="Times New Roman" w:cs="Calibri"/>
                <w:b/>
                <w:bCs/>
                <w:lang w:val="tr-TR" w:eastAsia="tr-TR"/>
              </w:rPr>
              <w:t> </w:t>
            </w:r>
          </w:p>
        </w:tc>
        <w:tc>
          <w:tcPr>
            <w:tcW w:w="1580" w:type="dxa"/>
            <w:tcBorders>
              <w:top w:val="nil"/>
              <w:left w:val="nil"/>
              <w:bottom w:val="single" w:sz="8" w:space="0" w:color="auto"/>
              <w:right w:val="nil"/>
            </w:tcBorders>
            <w:shd w:val="clear" w:color="auto" w:fill="auto"/>
            <w:noWrap/>
            <w:vAlign w:val="center"/>
            <w:hideMark/>
          </w:tcPr>
          <w:p w:rsidR="002822C4" w:rsidRPr="002822C4" w:rsidRDefault="002822C4" w:rsidP="002822C4">
            <w:pPr>
              <w:widowControl/>
              <w:autoSpaceDE/>
              <w:autoSpaceDN/>
              <w:rPr>
                <w:rFonts w:eastAsia="Times New Roman" w:cs="Calibri"/>
                <w:b/>
                <w:bCs/>
                <w:lang w:val="tr-TR" w:eastAsia="tr-TR"/>
              </w:rPr>
            </w:pPr>
            <w:r w:rsidRPr="002822C4">
              <w:rPr>
                <w:rFonts w:eastAsia="Times New Roman" w:cs="Calibri"/>
                <w:b/>
                <w:bCs/>
                <w:lang w:val="tr-TR" w:eastAsia="tr-TR"/>
              </w:rPr>
              <w:t> </w:t>
            </w:r>
          </w:p>
        </w:tc>
        <w:tc>
          <w:tcPr>
            <w:tcW w:w="2240" w:type="dxa"/>
            <w:tcBorders>
              <w:top w:val="nil"/>
              <w:left w:val="nil"/>
              <w:bottom w:val="single" w:sz="8" w:space="0" w:color="auto"/>
              <w:right w:val="nil"/>
            </w:tcBorders>
            <w:shd w:val="clear" w:color="auto" w:fill="auto"/>
            <w:noWrap/>
            <w:vAlign w:val="center"/>
            <w:hideMark/>
          </w:tcPr>
          <w:p w:rsidR="002822C4" w:rsidRPr="002822C4" w:rsidRDefault="002822C4" w:rsidP="002822C4">
            <w:pPr>
              <w:widowControl/>
              <w:autoSpaceDE/>
              <w:autoSpaceDN/>
              <w:rPr>
                <w:rFonts w:eastAsia="Times New Roman" w:cs="Calibri"/>
                <w:b/>
                <w:bCs/>
                <w:lang w:val="tr-TR" w:eastAsia="tr-TR"/>
              </w:rPr>
            </w:pPr>
            <w:r w:rsidRPr="002822C4">
              <w:rPr>
                <w:rFonts w:eastAsia="Times New Roman" w:cs="Calibri"/>
                <w:b/>
                <w:bCs/>
                <w:lang w:val="tr-TR" w:eastAsia="tr-TR"/>
              </w:rPr>
              <w:t> </w:t>
            </w:r>
          </w:p>
        </w:tc>
        <w:tc>
          <w:tcPr>
            <w:tcW w:w="2260" w:type="dxa"/>
            <w:tcBorders>
              <w:top w:val="nil"/>
              <w:left w:val="nil"/>
              <w:bottom w:val="single" w:sz="8" w:space="0" w:color="auto"/>
              <w:right w:val="nil"/>
            </w:tcBorders>
            <w:shd w:val="clear" w:color="auto" w:fill="auto"/>
            <w:noWrap/>
            <w:vAlign w:val="center"/>
            <w:hideMark/>
          </w:tcPr>
          <w:p w:rsidR="002822C4" w:rsidRPr="002822C4" w:rsidRDefault="002822C4" w:rsidP="002822C4">
            <w:pPr>
              <w:widowControl/>
              <w:autoSpaceDE/>
              <w:autoSpaceDN/>
              <w:rPr>
                <w:rFonts w:eastAsia="Times New Roman" w:cs="Calibri"/>
                <w:b/>
                <w:bCs/>
                <w:color w:val="FF0000"/>
                <w:lang w:val="tr-TR" w:eastAsia="tr-TR"/>
              </w:rPr>
            </w:pPr>
            <w:r w:rsidRPr="002822C4">
              <w:rPr>
                <w:rFonts w:eastAsia="Times New Roman" w:cs="Calibri"/>
                <w:b/>
                <w:bCs/>
                <w:color w:val="FF0000"/>
                <w:lang w:val="tr-TR" w:eastAsia="tr-TR"/>
              </w:rPr>
              <w:t> </w:t>
            </w:r>
          </w:p>
        </w:tc>
      </w:tr>
      <w:tr w:rsidR="002822C4" w:rsidRPr="002822C4" w:rsidTr="002822C4">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22C4" w:rsidRPr="002822C4" w:rsidRDefault="002822C4" w:rsidP="002822C4">
            <w:pPr>
              <w:widowControl/>
              <w:autoSpaceDE/>
              <w:autoSpaceDN/>
              <w:jc w:val="center"/>
              <w:rPr>
                <w:rFonts w:eastAsia="Times New Roman" w:cs="Calibri"/>
                <w:b/>
                <w:bCs/>
                <w:lang w:val="tr-TR" w:eastAsia="tr-TR"/>
              </w:rPr>
            </w:pPr>
            <w:r w:rsidRPr="002822C4">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r w:rsidRPr="002822C4">
              <w:rPr>
                <w:rFonts w:eastAsia="Times New Roman" w:cs="Calibri"/>
                <w:b/>
                <w:bCs/>
                <w:lang w:val="tr-TR" w:eastAsia="tr-TR"/>
              </w:rPr>
              <w:t>38.893.835</w:t>
            </w:r>
          </w:p>
        </w:tc>
        <w:tc>
          <w:tcPr>
            <w:tcW w:w="2260" w:type="dxa"/>
            <w:tcBorders>
              <w:top w:val="nil"/>
              <w:left w:val="nil"/>
              <w:bottom w:val="single" w:sz="8" w:space="0" w:color="auto"/>
              <w:right w:val="single" w:sz="8" w:space="0" w:color="auto"/>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r w:rsidRPr="002822C4">
              <w:rPr>
                <w:rFonts w:eastAsia="Times New Roman" w:cs="Calibri"/>
                <w:b/>
                <w:bCs/>
                <w:lang w:val="tr-TR" w:eastAsia="tr-TR"/>
              </w:rPr>
              <w:t>47.737.023</w:t>
            </w:r>
          </w:p>
        </w:tc>
      </w:tr>
      <w:tr w:rsidR="002822C4" w:rsidRPr="002822C4" w:rsidTr="002822C4">
        <w:trPr>
          <w:trHeight w:val="165"/>
        </w:trPr>
        <w:tc>
          <w:tcPr>
            <w:tcW w:w="1602" w:type="dxa"/>
            <w:tcBorders>
              <w:top w:val="nil"/>
              <w:left w:val="nil"/>
              <w:bottom w:val="nil"/>
              <w:right w:val="nil"/>
            </w:tcBorders>
            <w:shd w:val="clear" w:color="auto" w:fill="auto"/>
            <w:noWrap/>
            <w:vAlign w:val="bottom"/>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p>
        </w:tc>
        <w:tc>
          <w:tcPr>
            <w:tcW w:w="1580" w:type="dxa"/>
            <w:tcBorders>
              <w:top w:val="nil"/>
              <w:left w:val="nil"/>
              <w:bottom w:val="nil"/>
              <w:right w:val="nil"/>
            </w:tcBorders>
            <w:shd w:val="clear" w:color="auto" w:fill="auto"/>
            <w:noWrap/>
            <w:vAlign w:val="bottom"/>
            <w:hideMark/>
          </w:tcPr>
          <w:p w:rsidR="002822C4" w:rsidRPr="002822C4" w:rsidRDefault="002822C4" w:rsidP="002822C4">
            <w:pPr>
              <w:widowControl/>
              <w:autoSpaceDE/>
              <w:autoSpaceDN/>
              <w:rPr>
                <w:rFonts w:ascii="Times New Roman" w:eastAsia="Times New Roman" w:hAnsi="Times New Roman" w:cs="Times New Roman"/>
                <w:sz w:val="20"/>
                <w:szCs w:val="20"/>
                <w:lang w:val="tr-TR" w:eastAsia="tr-TR"/>
              </w:rPr>
            </w:pPr>
          </w:p>
        </w:tc>
        <w:tc>
          <w:tcPr>
            <w:tcW w:w="2240" w:type="dxa"/>
            <w:tcBorders>
              <w:top w:val="nil"/>
              <w:left w:val="nil"/>
              <w:bottom w:val="nil"/>
              <w:right w:val="nil"/>
            </w:tcBorders>
            <w:shd w:val="clear" w:color="auto" w:fill="auto"/>
            <w:noWrap/>
            <w:vAlign w:val="bottom"/>
            <w:hideMark/>
          </w:tcPr>
          <w:p w:rsidR="002822C4" w:rsidRPr="002822C4" w:rsidRDefault="002822C4" w:rsidP="002822C4">
            <w:pPr>
              <w:widowControl/>
              <w:autoSpaceDE/>
              <w:autoSpaceDN/>
              <w:rPr>
                <w:rFonts w:ascii="Times New Roman" w:eastAsia="Times New Roman" w:hAnsi="Times New Roman" w:cs="Times New Roman"/>
                <w:sz w:val="20"/>
                <w:szCs w:val="20"/>
                <w:lang w:val="tr-TR" w:eastAsia="tr-TR"/>
              </w:rPr>
            </w:pPr>
          </w:p>
        </w:tc>
        <w:tc>
          <w:tcPr>
            <w:tcW w:w="2260" w:type="dxa"/>
            <w:tcBorders>
              <w:top w:val="nil"/>
              <w:left w:val="nil"/>
              <w:bottom w:val="nil"/>
              <w:right w:val="nil"/>
            </w:tcBorders>
            <w:shd w:val="clear" w:color="auto" w:fill="auto"/>
            <w:noWrap/>
            <w:vAlign w:val="bottom"/>
            <w:hideMark/>
          </w:tcPr>
          <w:p w:rsidR="002822C4" w:rsidRPr="002822C4" w:rsidRDefault="002822C4" w:rsidP="002822C4">
            <w:pPr>
              <w:widowControl/>
              <w:autoSpaceDE/>
              <w:autoSpaceDN/>
              <w:rPr>
                <w:rFonts w:ascii="Times New Roman" w:eastAsia="Times New Roman" w:hAnsi="Times New Roman" w:cs="Times New Roman"/>
                <w:sz w:val="20"/>
                <w:szCs w:val="20"/>
                <w:lang w:val="tr-TR" w:eastAsia="tr-TR"/>
              </w:rPr>
            </w:pPr>
          </w:p>
        </w:tc>
      </w:tr>
      <w:tr w:rsidR="002822C4" w:rsidRPr="002822C4" w:rsidTr="002822C4">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2822C4" w:rsidRPr="002822C4" w:rsidRDefault="002822C4" w:rsidP="002822C4">
            <w:pPr>
              <w:widowControl/>
              <w:autoSpaceDE/>
              <w:autoSpaceDN/>
              <w:jc w:val="center"/>
              <w:rPr>
                <w:rFonts w:eastAsia="Times New Roman" w:cs="Calibri"/>
                <w:b/>
                <w:bCs/>
                <w:lang w:val="tr-TR" w:eastAsia="tr-TR"/>
              </w:rPr>
            </w:pPr>
            <w:r w:rsidRPr="002822C4">
              <w:rPr>
                <w:rFonts w:eastAsia="Times New Roman" w:cs="Calibri"/>
                <w:b/>
                <w:bCs/>
                <w:lang w:val="tr-TR" w:eastAsia="tr-TR"/>
              </w:rPr>
              <w:t>SÖZLEŞME TOPLAMI</w:t>
            </w:r>
            <w:r w:rsidR="001404E0" w:rsidRPr="001404E0">
              <w:rPr>
                <w:rFonts w:eastAsia="Times New Roman" w:cs="Calibri"/>
                <w:b/>
                <w:bCs/>
                <w:color w:val="000000"/>
                <w:sz w:val="20"/>
                <w:szCs w:val="20"/>
                <w:lang w:val="tr-TR" w:eastAsia="tr-TR"/>
              </w:rPr>
              <w:t>(</w:t>
            </w:r>
            <w:proofErr w:type="spellStart"/>
            <w:r w:rsidR="001404E0" w:rsidRPr="001404E0">
              <w:rPr>
                <w:rFonts w:eastAsia="Times New Roman" w:cs="Calibri"/>
                <w:b/>
                <w:bCs/>
                <w:color w:val="000000"/>
                <w:sz w:val="20"/>
                <w:szCs w:val="20"/>
                <w:lang w:val="tr-TR" w:eastAsia="tr-TR"/>
              </w:rPr>
              <w:t>kWh</w:t>
            </w:r>
            <w:proofErr w:type="spellEnd"/>
            <w:r w:rsidR="001404E0" w:rsidRPr="001404E0">
              <w:rPr>
                <w:rFonts w:eastAsia="Times New Roman" w:cs="Calibri"/>
                <w:b/>
                <w:bCs/>
                <w:color w:val="000000"/>
                <w:sz w:val="20"/>
                <w:szCs w:val="20"/>
                <w:lang w:val="tr-TR" w:eastAsia="tr-TR"/>
              </w:rPr>
              <w:t>)</w:t>
            </w:r>
          </w:p>
        </w:tc>
        <w:tc>
          <w:tcPr>
            <w:tcW w:w="2240" w:type="dxa"/>
            <w:tcBorders>
              <w:top w:val="single" w:sz="8" w:space="0" w:color="auto"/>
              <w:left w:val="nil"/>
              <w:bottom w:val="single" w:sz="8" w:space="0" w:color="auto"/>
              <w:right w:val="single" w:sz="8" w:space="0" w:color="auto"/>
            </w:tcBorders>
            <w:shd w:val="clear" w:color="000000" w:fill="DDEBF7"/>
            <w:noWrap/>
            <w:vAlign w:val="center"/>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r w:rsidRPr="002822C4">
              <w:rPr>
                <w:rFonts w:eastAsia="Times New Roman" w:cs="Calibri"/>
                <w:b/>
                <w:bCs/>
                <w:lang w:val="tr-TR" w:eastAsia="tr-TR"/>
              </w:rPr>
              <w:t>86.630.857</w:t>
            </w:r>
          </w:p>
        </w:tc>
        <w:tc>
          <w:tcPr>
            <w:tcW w:w="2260" w:type="dxa"/>
            <w:tcBorders>
              <w:top w:val="nil"/>
              <w:left w:val="nil"/>
              <w:bottom w:val="nil"/>
              <w:right w:val="nil"/>
            </w:tcBorders>
            <w:shd w:val="clear" w:color="auto" w:fill="auto"/>
            <w:noWrap/>
            <w:vAlign w:val="center"/>
            <w:hideMark/>
          </w:tcPr>
          <w:p w:rsidR="002822C4" w:rsidRPr="002822C4" w:rsidRDefault="002822C4" w:rsidP="002822C4">
            <w:pPr>
              <w:widowControl/>
              <w:autoSpaceDE/>
              <w:autoSpaceDN/>
              <w:ind w:firstLineChars="100" w:firstLine="220"/>
              <w:jc w:val="right"/>
              <w:rPr>
                <w:rFonts w:eastAsia="Times New Roman" w:cs="Calibri"/>
                <w:b/>
                <w:bCs/>
                <w:lang w:val="tr-TR" w:eastAsia="tr-TR"/>
              </w:rPr>
            </w:pPr>
          </w:p>
        </w:tc>
      </w:tr>
    </w:tbl>
    <w:p w:rsidR="001404E0" w:rsidRDefault="001404E0"/>
    <w:p w:rsidR="00145087" w:rsidRDefault="001404E0">
      <w:pPr>
        <w:rPr>
          <w:rFonts w:ascii="Times New Roman"/>
          <w:sz w:val="18"/>
        </w:rPr>
        <w:sectPr w:rsidR="00145087">
          <w:pgSz w:w="11900" w:h="16840"/>
          <w:pgMar w:top="1600" w:right="1300" w:bottom="960" w:left="1260" w:header="0" w:footer="777" w:gutter="0"/>
          <w:cols w:space="708"/>
        </w:sectPr>
      </w:pPr>
      <w:proofErr w:type="spellStart"/>
      <w:r w:rsidRPr="00EE4B77">
        <w:t>Toplam</w:t>
      </w:r>
      <w:proofErr w:type="spellEnd"/>
      <w:r w:rsidRPr="00EE4B77">
        <w:t xml:space="preserve"> </w:t>
      </w:r>
      <w:proofErr w:type="spellStart"/>
      <w:r w:rsidRPr="00EE4B77">
        <w:t>alım</w:t>
      </w:r>
      <w:proofErr w:type="spellEnd"/>
      <w:r w:rsidRPr="00EE4B77">
        <w:t xml:space="preserve"> </w:t>
      </w:r>
      <w:proofErr w:type="spellStart"/>
      <w:r w:rsidRPr="00EE4B77">
        <w:t>miktarı</w:t>
      </w:r>
      <w:proofErr w:type="spellEnd"/>
      <w:r w:rsidRPr="00EE4B77">
        <w:t xml:space="preserve"> </w:t>
      </w:r>
      <w:r>
        <w:rPr>
          <w:rFonts w:eastAsia="Calibri"/>
          <w:b/>
        </w:rPr>
        <w:t>86.630.8</w:t>
      </w:r>
      <w:r w:rsidRPr="00B73B0E">
        <w:rPr>
          <w:rFonts w:eastAsia="Calibri"/>
          <w:b/>
        </w:rPr>
        <w:t>5</w:t>
      </w:r>
      <w:r>
        <w:rPr>
          <w:rFonts w:eastAsia="Calibri"/>
          <w:b/>
        </w:rPr>
        <w:t>7</w:t>
      </w:r>
      <w:r w:rsidRPr="00B73B0E">
        <w:rPr>
          <w:rFonts w:eastAsia="Calibri"/>
          <w:b/>
        </w:rPr>
        <w:t xml:space="preserve"> kWh</w:t>
      </w:r>
      <w:r w:rsidRPr="00B73B0E">
        <w:rPr>
          <w:rFonts w:eastAsia="Calibri"/>
        </w:rPr>
        <w:t xml:space="preserve"> </w:t>
      </w:r>
      <w:proofErr w:type="spellStart"/>
      <w:r w:rsidRPr="00EE4B77">
        <w:t>olacaktır</w:t>
      </w:r>
      <w:proofErr w:type="spellEnd"/>
      <w:r w:rsidRPr="00EE4B77">
        <w:t>.</w:t>
      </w: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99" w:rsidRDefault="00244099">
      <w:r>
        <w:separator/>
      </w:r>
    </w:p>
  </w:endnote>
  <w:endnote w:type="continuationSeparator" w:id="0">
    <w:p w:rsidR="00244099" w:rsidRDefault="0024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0F1D8D">
                            <w:rPr>
                              <w:b/>
                              <w:noProof/>
                              <w:sz w:val="18"/>
                            </w:rPr>
                            <w:t>10</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0F1D8D">
                      <w:rPr>
                        <w:b/>
                        <w:noProof/>
                        <w:sz w:val="18"/>
                      </w:rPr>
                      <w:t>10</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99" w:rsidRDefault="00244099">
      <w:r>
        <w:separator/>
      </w:r>
    </w:p>
  </w:footnote>
  <w:footnote w:type="continuationSeparator" w:id="0">
    <w:p w:rsidR="00244099" w:rsidRDefault="0024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tentative="1">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722"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D4A56"/>
    <w:rsid w:val="000F1D8D"/>
    <w:rsid w:val="001404E0"/>
    <w:rsid w:val="00145087"/>
    <w:rsid w:val="0017640B"/>
    <w:rsid w:val="00244099"/>
    <w:rsid w:val="00253BB1"/>
    <w:rsid w:val="002822C4"/>
    <w:rsid w:val="00292F68"/>
    <w:rsid w:val="00360919"/>
    <w:rsid w:val="003B4768"/>
    <w:rsid w:val="00493E9B"/>
    <w:rsid w:val="004D07A7"/>
    <w:rsid w:val="00594E3D"/>
    <w:rsid w:val="005952E2"/>
    <w:rsid w:val="005D41F3"/>
    <w:rsid w:val="00745EFD"/>
    <w:rsid w:val="0081274A"/>
    <w:rsid w:val="00A14515"/>
    <w:rsid w:val="00A74A54"/>
    <w:rsid w:val="00AA34EF"/>
    <w:rsid w:val="00AB34E4"/>
    <w:rsid w:val="00B752B9"/>
    <w:rsid w:val="00C254B0"/>
    <w:rsid w:val="00CC7A13"/>
    <w:rsid w:val="00D33416"/>
    <w:rsid w:val="00D54A21"/>
    <w:rsid w:val="00DB4935"/>
    <w:rsid w:val="00E80BF8"/>
    <w:rsid w:val="00E971D2"/>
    <w:rsid w:val="00F10D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E1EF"/>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3078</Words>
  <Characters>17548</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18</cp:revision>
  <dcterms:created xsi:type="dcterms:W3CDTF">2020-07-14T14:02:00Z</dcterms:created>
  <dcterms:modified xsi:type="dcterms:W3CDTF">2021-05-07T10:22:00Z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