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7D1B79"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1153249F"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FC4F68" w:rsidRPr="00FC4F68">
        <w:rPr>
          <w:rFonts w:asciiTheme="minorHAnsi" w:hAnsiTheme="minorHAnsi"/>
          <w:sz w:val="22"/>
          <w:szCs w:val="22"/>
          <w:lang w:val="tr-TR"/>
        </w:rPr>
        <w:t>Bozkır, Cihanbeyli, Yunak, Hadim, Altınekin</w:t>
      </w:r>
      <w:r w:rsidR="00D862DD">
        <w:rPr>
          <w:rFonts w:asciiTheme="minorHAnsi" w:hAnsiTheme="minorHAnsi"/>
          <w:sz w:val="22"/>
          <w:szCs w:val="22"/>
          <w:lang w:val="tr-TR"/>
        </w:rPr>
        <w:t>, Ömeranlı, Çeltik, Doğanhisar, Hüyük, Derebucak, Taşkent, Güneysınır, Akören</w:t>
      </w:r>
      <w:r w:rsidR="00FC4F68" w:rsidRPr="00FC4F68">
        <w:rPr>
          <w:rFonts w:asciiTheme="minorHAnsi" w:hAnsiTheme="minorHAnsi"/>
          <w:sz w:val="22"/>
          <w:szCs w:val="22"/>
          <w:lang w:val="tr-TR"/>
        </w:rPr>
        <w:t xml:space="preserve"> İlçelerinin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17FA295F"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627F19">
        <w:rPr>
          <w:rFonts w:asciiTheme="minorHAnsi" w:hAnsiTheme="minorHAnsi" w:cs="Tahoma"/>
          <w:sz w:val="22"/>
          <w:szCs w:val="22"/>
          <w:highlight w:val="yellow"/>
        </w:rPr>
        <w:t>05.10</w:t>
      </w:r>
      <w:r w:rsidR="00E71644">
        <w:rPr>
          <w:rFonts w:asciiTheme="minorHAnsi" w:hAnsiTheme="minorHAnsi" w:cs="Tahoma"/>
          <w:sz w:val="22"/>
          <w:szCs w:val="22"/>
          <w:highlight w:val="yellow"/>
        </w:rPr>
        <w:t>.2023</w:t>
      </w:r>
      <w:bookmarkStart w:id="1" w:name="_GoBack"/>
      <w:bookmarkEnd w:id="1"/>
    </w:p>
    <w:p w14:paraId="6AC890F4" w14:textId="276F3643"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627F19">
        <w:rPr>
          <w:rFonts w:asciiTheme="minorHAnsi" w:hAnsiTheme="minorHAnsi"/>
          <w:sz w:val="22"/>
          <w:szCs w:val="22"/>
          <w:highlight w:val="yellow"/>
        </w:rPr>
        <w:t>09</w:t>
      </w:r>
      <w:r w:rsidR="00E71644">
        <w:rPr>
          <w:rFonts w:asciiTheme="minorHAnsi" w:hAnsiTheme="minorHAnsi"/>
          <w:sz w:val="22"/>
          <w:szCs w:val="22"/>
          <w:highlight w:val="yellow"/>
        </w:rPr>
        <w:t>:3</w:t>
      </w:r>
      <w:r w:rsidR="006B47EA" w:rsidRPr="001E59F0">
        <w:rPr>
          <w:rFonts w:asciiTheme="minorHAnsi" w:hAnsiTheme="minorHAnsi"/>
          <w:sz w:val="22"/>
          <w:szCs w:val="22"/>
          <w:highlight w:val="yellow"/>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t>İsteklinin toptan satış, iletim ve taşıma faaliyetlerine ilişkin son 5 (beş) yıllık iş deneyim belgeleri,</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(LNG)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4C77" w14:textId="77777777" w:rsidR="007D1B79" w:rsidRDefault="007D1B79" w:rsidP="00E04C33">
      <w:r>
        <w:separator/>
      </w:r>
    </w:p>
  </w:endnote>
  <w:endnote w:type="continuationSeparator" w:id="0">
    <w:p w14:paraId="21DBBAF0" w14:textId="77777777" w:rsidR="007D1B79" w:rsidRDefault="007D1B79"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260A" w14:textId="77777777" w:rsidR="007D1B79" w:rsidRDefault="007D1B79" w:rsidP="00E04C33">
      <w:r>
        <w:separator/>
      </w:r>
    </w:p>
  </w:footnote>
  <w:footnote w:type="continuationSeparator" w:id="0">
    <w:p w14:paraId="22D9C685" w14:textId="77777777" w:rsidR="007D1B79" w:rsidRDefault="007D1B79"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75FF"/>
    <w:rsid w:val="001C6285"/>
    <w:rsid w:val="001E59F0"/>
    <w:rsid w:val="001F22E2"/>
    <w:rsid w:val="001F779E"/>
    <w:rsid w:val="00204E74"/>
    <w:rsid w:val="00207E51"/>
    <w:rsid w:val="0021308B"/>
    <w:rsid w:val="00215A7C"/>
    <w:rsid w:val="00235C4B"/>
    <w:rsid w:val="00241297"/>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92A89"/>
    <w:rsid w:val="003B2C06"/>
    <w:rsid w:val="003B5666"/>
    <w:rsid w:val="003C0271"/>
    <w:rsid w:val="003C390D"/>
    <w:rsid w:val="003C7B81"/>
    <w:rsid w:val="003D70D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66AE0"/>
    <w:rsid w:val="00A7404A"/>
    <w:rsid w:val="00A86C9B"/>
    <w:rsid w:val="00A9187B"/>
    <w:rsid w:val="00A9699E"/>
    <w:rsid w:val="00AA1177"/>
    <w:rsid w:val="00AF77F0"/>
    <w:rsid w:val="00B01B21"/>
    <w:rsid w:val="00B220D2"/>
    <w:rsid w:val="00B22F16"/>
    <w:rsid w:val="00B37C9E"/>
    <w:rsid w:val="00BB0807"/>
    <w:rsid w:val="00BB4404"/>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862DD"/>
    <w:rsid w:val="00DC348C"/>
    <w:rsid w:val="00DD00CD"/>
    <w:rsid w:val="00DE3A9E"/>
    <w:rsid w:val="00E04C33"/>
    <w:rsid w:val="00E20E93"/>
    <w:rsid w:val="00E71644"/>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4155</Words>
  <Characters>23690</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3</cp:revision>
  <cp:lastPrinted>2019-04-01T14:30:00Z</cp:lastPrinted>
  <dcterms:created xsi:type="dcterms:W3CDTF">2023-06-22T11:43:00Z</dcterms:created>
  <dcterms:modified xsi:type="dcterms:W3CDTF">2023-09-25T11:22:00Z</dcterms:modified>
</cp:coreProperties>
</file>