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E16B36">
      <w:pPr>
        <w:pStyle w:val="Balk1"/>
        <w:spacing w:before="78"/>
        <w:ind w:left="2190" w:right="2201" w:firstLine="0"/>
        <w:jc w:val="center"/>
      </w:pPr>
      <w:r>
        <w:t>ENERYA ERZİNCAN</w:t>
      </w:r>
      <w:r w:rsidR="002F6E36">
        <w:t xml:space="preserve">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="008B1C50">
        <w:t>202</w:t>
      </w:r>
      <w:r w:rsidR="0096136F">
        <w:t>3</w:t>
      </w:r>
      <w:r w:rsidR="008B1C50">
        <w:t>-202</w:t>
      </w:r>
      <w:r w:rsidR="0096136F">
        <w:t>4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 w:rsidR="00E16B36">
        <w:t>Ünvanı</w:t>
      </w:r>
      <w:proofErr w:type="spellEnd"/>
      <w:r w:rsidR="00E16B36">
        <w:tab/>
        <w:t>:</w:t>
      </w:r>
      <w:r w:rsidR="00E16B36">
        <w:tab/>
        <w:t>ENERYA ERZİNCAN</w:t>
      </w:r>
      <w:r>
        <w:t xml:space="preserve">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 w:history="1">
        <w:r w:rsidR="00E16B36" w:rsidRPr="003A6AF4">
          <w:rPr>
            <w:rStyle w:val="Kpr"/>
          </w:rPr>
          <w:t>enerya.erzincan@hs02.kep.tr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Doğal Gaz)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 w:rsidR="00E16B36">
        <w:t>Noktası</w:t>
      </w:r>
      <w:proofErr w:type="spellEnd"/>
      <w:r w:rsidR="00E16B36">
        <w:tab/>
        <w:t>:</w:t>
      </w:r>
      <w:r w:rsidR="00E16B36">
        <w:tab/>
        <w:t>Enerya Erzincan</w:t>
      </w:r>
      <w:r>
        <w:t xml:space="preserve">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E16B36">
      <w:pPr>
        <w:pStyle w:val="GvdeMetni"/>
        <w:spacing w:line="256" w:lineRule="exact"/>
        <w:ind w:left="3941"/>
        <w:rPr>
          <w:color w:val="000000" w:themeColor="text1"/>
        </w:rPr>
      </w:pP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İliç</w:t>
      </w:r>
      <w:proofErr w:type="spellEnd"/>
      <w:r w:rsidR="002F6E36" w:rsidRPr="009C03A8">
        <w:rPr>
          <w:color w:val="000000" w:themeColor="text1"/>
        </w:rPr>
        <w:t>)</w:t>
      </w:r>
    </w:p>
    <w:p w:rsidR="004E77E2" w:rsidRPr="001F6F23" w:rsidRDefault="00E16B36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>
        <w:rPr>
          <w:color w:val="000000" w:themeColor="text1"/>
        </w:rPr>
        <w:t>İliç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4E77E2" w:rsidRPr="001F6F23" w:rsidRDefault="00E16B36">
      <w:pPr>
        <w:pStyle w:val="GvdeMetni"/>
        <w:spacing w:before="54"/>
        <w:ind w:left="1815"/>
        <w:rPr>
          <w:color w:val="000000" w:themeColor="text1"/>
        </w:rPr>
      </w:pPr>
      <w:r>
        <w:rPr>
          <w:color w:val="000000" w:themeColor="text1"/>
        </w:rPr>
        <w:t xml:space="preserve">İbrahim </w:t>
      </w:r>
      <w:proofErr w:type="spellStart"/>
      <w:r>
        <w:rPr>
          <w:color w:val="000000" w:themeColor="text1"/>
        </w:rPr>
        <w:t>Çeçen</w:t>
      </w:r>
      <w:proofErr w:type="spellEnd"/>
      <w:r w:rsidR="007A6C2B" w:rsidRPr="001F6F23">
        <w:rPr>
          <w:color w:val="000000" w:themeColor="text1"/>
        </w:rPr>
        <w:t xml:space="preserve"> </w:t>
      </w:r>
      <w:proofErr w:type="spellStart"/>
      <w:r w:rsidR="007A6C2B" w:rsidRPr="001F6F23">
        <w:rPr>
          <w:color w:val="000000" w:themeColor="text1"/>
        </w:rPr>
        <w:t>Mahallesi</w:t>
      </w:r>
      <w:proofErr w:type="spellEnd"/>
      <w:r w:rsidR="002F6E36" w:rsidRPr="001F6F23">
        <w:rPr>
          <w:color w:val="000000" w:themeColor="text1"/>
        </w:rPr>
        <w:t>,</w:t>
      </w:r>
      <w:r w:rsidR="00E9780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Halil Yıldırım </w:t>
      </w:r>
      <w:proofErr w:type="spellStart"/>
      <w:r>
        <w:rPr>
          <w:color w:val="000000" w:themeColor="text1"/>
        </w:rPr>
        <w:t>Caddesi</w:t>
      </w:r>
      <w:proofErr w:type="spellEnd"/>
      <w:r>
        <w:rPr>
          <w:color w:val="000000" w:themeColor="text1"/>
        </w:rPr>
        <w:t>, No</w:t>
      </w:r>
      <w:proofErr w:type="gramStart"/>
      <w:r>
        <w:rPr>
          <w:color w:val="000000" w:themeColor="text1"/>
        </w:rPr>
        <w:t>:9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İliç</w:t>
      </w:r>
      <w:proofErr w:type="spellEnd"/>
      <w:r>
        <w:rPr>
          <w:color w:val="000000" w:themeColor="text1"/>
        </w:rPr>
        <w:t>, Erzincan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8B1C50">
        <w:t>.202</w:t>
      </w:r>
      <w:r w:rsidR="00E9780B">
        <w:t>3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</w:p>
    <w:p w:rsidR="004E77E2" w:rsidRPr="007A6C2B" w:rsidRDefault="002F6E36" w:rsidP="00E16B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  <w:ind w:left="3092" w:hanging="2383"/>
      </w:pPr>
      <w:proofErr w:type="spellStart"/>
      <w:r>
        <w:t>Yapılacağı</w:t>
      </w:r>
      <w:proofErr w:type="spellEnd"/>
      <w:r w:rsidRPr="00E16B36"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r w:rsidR="00E16B36">
        <w:t>Enerya Erzincan</w:t>
      </w:r>
      <w:r w:rsidRPr="007A6C2B">
        <w:t xml:space="preserve">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E16B36">
        <w:rPr>
          <w:spacing w:val="-10"/>
        </w:rPr>
        <w:t xml:space="preserve"> </w:t>
      </w:r>
      <w:r w:rsidRPr="007A6C2B">
        <w:t>Kat:4,</w:t>
      </w:r>
      <w:r w:rsidR="00E16B36">
        <w:t xml:space="preserve"> </w:t>
      </w: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1774D3">
        <w:rPr>
          <w:highlight w:val="yellow"/>
        </w:rPr>
        <w:t>22</w:t>
      </w:r>
      <w:r w:rsidR="008B1C50" w:rsidRPr="00E9780B">
        <w:rPr>
          <w:highlight w:val="yellow"/>
        </w:rPr>
        <w:t>.06.202</w:t>
      </w:r>
      <w:r w:rsidR="00BD0099" w:rsidRPr="00BD0099">
        <w:rPr>
          <w:highlight w:val="yellow"/>
        </w:rPr>
        <w:t>3</w:t>
      </w:r>
      <w:r w:rsidR="00594FBA" w:rsidRPr="00A57ACA">
        <w:t xml:space="preserve"> </w:t>
      </w:r>
      <w:r w:rsidRPr="00A57ACA">
        <w:t xml:space="preserve"> – </w:t>
      </w:r>
      <w:proofErr w:type="spellStart"/>
      <w:r w:rsidRPr="00E9780B">
        <w:rPr>
          <w:highlight w:val="yellow"/>
        </w:rPr>
        <w:t>Saat</w:t>
      </w:r>
      <w:proofErr w:type="spellEnd"/>
      <w:r w:rsidRPr="00E9780B">
        <w:rPr>
          <w:highlight w:val="yellow"/>
        </w:rPr>
        <w:t>:</w:t>
      </w:r>
      <w:r w:rsidRPr="00E9780B">
        <w:rPr>
          <w:spacing w:val="-2"/>
          <w:highlight w:val="yellow"/>
        </w:rPr>
        <w:t xml:space="preserve"> </w:t>
      </w:r>
      <w:r w:rsidR="00D33410" w:rsidRPr="00E9780B">
        <w:rPr>
          <w:highlight w:val="yellow"/>
        </w:rPr>
        <w:t>09</w:t>
      </w:r>
      <w:r w:rsidRPr="00E9780B">
        <w:rPr>
          <w:highlight w:val="yellow"/>
        </w:rPr>
        <w:t>:</w:t>
      </w:r>
      <w:r w:rsidR="00D33410" w:rsidRPr="00E9780B">
        <w:rPr>
          <w:highlight w:val="yellow"/>
        </w:rPr>
        <w:t>3</w:t>
      </w:r>
      <w:r w:rsidRPr="00E9780B">
        <w:rPr>
          <w:highlight w:val="yellow"/>
        </w:rPr>
        <w:t>0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 w:rsidR="00E16B36">
        <w:t>Erzincan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FB06C8" w:rsidRDefault="00FB06C8" w:rsidP="00FB06C8">
      <w:pPr>
        <w:tabs>
          <w:tab w:val="left" w:pos="682"/>
          <w:tab w:val="left" w:pos="683"/>
        </w:tabs>
      </w:pPr>
    </w:p>
    <w:p w:rsidR="00FB06C8" w:rsidRDefault="00FB06C8" w:rsidP="00FB06C8">
      <w:pPr>
        <w:tabs>
          <w:tab w:val="left" w:pos="682"/>
          <w:tab w:val="left" w:pos="683"/>
        </w:tabs>
      </w:pP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lastRenderedPageBreak/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</w:t>
      </w:r>
      <w:r w:rsidR="007443A8">
        <w:t>hale</w:t>
      </w:r>
      <w:proofErr w:type="spellEnd"/>
      <w:r w:rsidR="007443A8">
        <w:t xml:space="preserve"> </w:t>
      </w:r>
      <w:proofErr w:type="spellStart"/>
      <w:r w:rsidR="007443A8">
        <w:t>tarihinden</w:t>
      </w:r>
      <w:proofErr w:type="spellEnd"/>
      <w:r w:rsidR="007443A8">
        <w:t xml:space="preserve"> </w:t>
      </w:r>
      <w:proofErr w:type="spellStart"/>
      <w:r w:rsidR="007443A8">
        <w:t>itibaren</w:t>
      </w:r>
      <w:proofErr w:type="spellEnd"/>
      <w:r w:rsidR="007443A8">
        <w:t xml:space="preserve"> </w:t>
      </w:r>
      <w:proofErr w:type="spellStart"/>
      <w:r w:rsidR="007443A8">
        <w:t>en</w:t>
      </w:r>
      <w:proofErr w:type="spellEnd"/>
      <w:r w:rsidR="007443A8">
        <w:t xml:space="preserve"> </w:t>
      </w:r>
      <w:proofErr w:type="spellStart"/>
      <w:proofErr w:type="gramStart"/>
      <w:r w:rsidR="007443A8">
        <w:t>az</w:t>
      </w:r>
      <w:proofErr w:type="spellEnd"/>
      <w:proofErr w:type="gramEnd"/>
      <w:r w:rsidR="007443A8">
        <w:t xml:space="preserve"> 30 (</w:t>
      </w:r>
      <w:proofErr w:type="spellStart"/>
      <w:r w:rsidR="007443A8">
        <w:t>otuz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6540" w:type="dxa"/>
        <w:tblInd w:w="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3765E7" w:rsidRPr="003765E7" w:rsidTr="001774D3">
        <w:trPr>
          <w:trHeight w:val="288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İLİÇ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TEMMUZ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260.376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AĞUSTOS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1.391.521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EYLÜL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1.208.488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EKİM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803.880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KASIM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2.322.208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ARALIK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3.979.360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TOPLAM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9.965.831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OCAK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4.700.304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ŞUBAT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3.551.439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MART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3.689.236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NİSAN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1.267.441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MAYIS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681.140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HAZİRAN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color w:val="000000"/>
                <w:lang w:val="tr-TR" w:eastAsia="tr-TR"/>
              </w:rPr>
              <w:t>275.323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TOPLAM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14.164.884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 </w:t>
            </w:r>
          </w:p>
        </w:tc>
      </w:tr>
      <w:tr w:rsidR="003765E7" w:rsidRPr="003765E7" w:rsidTr="001774D3">
        <w:trPr>
          <w:trHeight w:val="30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GENEL TOPLAM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24.130.716</w:t>
            </w:r>
          </w:p>
        </w:tc>
      </w:tr>
      <w:tr w:rsidR="003765E7" w:rsidRPr="003765E7" w:rsidTr="001774D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3765E7" w:rsidRPr="003765E7" w:rsidTr="001774D3">
        <w:trPr>
          <w:trHeight w:val="30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SÖZLEŞME TOPLAMI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65E7" w:rsidRPr="003765E7" w:rsidRDefault="003765E7" w:rsidP="003765E7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3765E7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24.130.716</w:t>
            </w: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4526EB">
        <w:t>Toplam</w:t>
      </w:r>
      <w:proofErr w:type="spellEnd"/>
      <w:r w:rsidRPr="004526EB">
        <w:t xml:space="preserve"> </w:t>
      </w:r>
      <w:proofErr w:type="spellStart"/>
      <w:r w:rsidRPr="004526EB">
        <w:t>alım</w:t>
      </w:r>
      <w:proofErr w:type="spellEnd"/>
      <w:r w:rsidRPr="004526EB">
        <w:t xml:space="preserve"> </w:t>
      </w:r>
      <w:proofErr w:type="spellStart"/>
      <w:r w:rsidRPr="004526EB">
        <w:t>miktarı</w:t>
      </w:r>
      <w:proofErr w:type="spellEnd"/>
      <w:r w:rsidRPr="004526EB">
        <w:t xml:space="preserve"> </w:t>
      </w:r>
      <w:r w:rsidR="003765E7">
        <w:rPr>
          <w:rFonts w:eastAsia="Times New Roman" w:cs="Calibri"/>
          <w:b/>
          <w:bCs/>
          <w:lang w:val="tr-TR" w:eastAsia="tr-TR"/>
        </w:rPr>
        <w:t>24.130.7</w:t>
      </w:r>
      <w:r w:rsidR="00394D46">
        <w:rPr>
          <w:rFonts w:eastAsia="Times New Roman" w:cs="Calibri"/>
          <w:b/>
          <w:bCs/>
          <w:lang w:val="tr-TR" w:eastAsia="tr-TR"/>
        </w:rPr>
        <w:t>16</w:t>
      </w:r>
      <w:r w:rsidR="00BD0099" w:rsidRPr="00CB3EB2">
        <w:rPr>
          <w:rFonts w:eastAsia="Times New Roman" w:cs="Calibri"/>
          <w:b/>
          <w:bCs/>
          <w:lang w:val="tr-TR" w:eastAsia="tr-TR"/>
        </w:rPr>
        <w:t xml:space="preserve"> </w:t>
      </w:r>
      <w:r w:rsidR="00BD0099" w:rsidRPr="00CB3EB2">
        <w:rPr>
          <w:b/>
        </w:rPr>
        <w:t xml:space="preserve">kWh </w:t>
      </w:r>
      <w:proofErr w:type="spellStart"/>
      <w:r w:rsidRPr="004526EB">
        <w:t>olacaktır</w:t>
      </w:r>
      <w:proofErr w:type="spellEnd"/>
      <w:proofErr w:type="gramStart"/>
      <w:r w:rsidRPr="004526EB">
        <w:t>.</w:t>
      </w:r>
      <w:r w:rsidR="00C51B0D">
        <w:t>(</w:t>
      </w:r>
      <w:proofErr w:type="gramEnd"/>
      <w:r w:rsidR="00C51B0D">
        <w:t>“</w:t>
      </w:r>
      <w:proofErr w:type="spellStart"/>
      <w:r w:rsidR="00C51B0D">
        <w:t>Miktarlar</w:t>
      </w:r>
      <w:proofErr w:type="spellEnd"/>
      <w:r w:rsidR="00C51B0D">
        <w:t xml:space="preserve"> </w:t>
      </w:r>
      <w:proofErr w:type="spellStart"/>
      <w:r w:rsidR="00C51B0D">
        <w:t>tahmini</w:t>
      </w:r>
      <w:proofErr w:type="spellEnd"/>
      <w:r w:rsidR="00C51B0D">
        <w:t xml:space="preserve"> </w:t>
      </w:r>
      <w:proofErr w:type="spellStart"/>
      <w:r w:rsidR="00C51B0D">
        <w:t>olarak</w:t>
      </w:r>
      <w:proofErr w:type="spellEnd"/>
      <w:r w:rsidR="00C51B0D">
        <w:t xml:space="preserve"> </w:t>
      </w:r>
      <w:proofErr w:type="spellStart"/>
      <w:r w:rsidR="00C51B0D">
        <w:t>belirtilmiştir</w:t>
      </w:r>
      <w:proofErr w:type="spellEnd"/>
      <w:r w:rsidR="00C51B0D">
        <w:t xml:space="preserve">. </w:t>
      </w:r>
      <w:proofErr w:type="spellStart"/>
      <w:r w:rsidR="00C51B0D">
        <w:t>Sözleş</w:t>
      </w:r>
      <w:r w:rsidR="00C51B0D">
        <w:t>me</w:t>
      </w:r>
      <w:proofErr w:type="spellEnd"/>
      <w:r w:rsidR="00C51B0D">
        <w:t xml:space="preserve"> </w:t>
      </w:r>
      <w:proofErr w:type="spellStart"/>
      <w:r w:rsidR="00C51B0D">
        <w:t>süresi</w:t>
      </w:r>
      <w:proofErr w:type="spellEnd"/>
      <w:r w:rsidR="00C51B0D">
        <w:t xml:space="preserve"> </w:t>
      </w:r>
      <w:proofErr w:type="spellStart"/>
      <w:r w:rsidR="00C51B0D">
        <w:t>boyunca</w:t>
      </w:r>
      <w:proofErr w:type="spellEnd"/>
      <w:r w:rsidR="00C51B0D">
        <w:t xml:space="preserve">, </w:t>
      </w:r>
      <w:proofErr w:type="spellStart"/>
      <w:r w:rsidR="00C51B0D">
        <w:t>ilgili</w:t>
      </w:r>
      <w:proofErr w:type="spellEnd"/>
      <w:r w:rsidR="00C51B0D">
        <w:t xml:space="preserve"> şehrin</w:t>
      </w:r>
      <w:bookmarkStart w:id="0" w:name="_GoBack"/>
      <w:bookmarkEnd w:id="0"/>
      <w:r w:rsidR="00C51B0D">
        <w:t xml:space="preserve"> </w:t>
      </w:r>
      <w:proofErr w:type="spellStart"/>
      <w:r w:rsidR="00C51B0D">
        <w:t>ihtiyacı</w:t>
      </w:r>
      <w:proofErr w:type="spellEnd"/>
      <w:r w:rsidR="00C51B0D">
        <w:t xml:space="preserve"> </w:t>
      </w:r>
      <w:proofErr w:type="spellStart"/>
      <w:r w:rsidR="00C51B0D">
        <w:t>olan</w:t>
      </w:r>
      <w:proofErr w:type="spellEnd"/>
      <w:r w:rsidR="00C51B0D">
        <w:t xml:space="preserve"> </w:t>
      </w:r>
      <w:proofErr w:type="spellStart"/>
      <w:r w:rsidR="00C51B0D">
        <w:t>doğalgaz</w:t>
      </w:r>
      <w:proofErr w:type="spellEnd"/>
      <w:r w:rsidR="00C51B0D">
        <w:t xml:space="preserve"> tam </w:t>
      </w:r>
      <w:proofErr w:type="spellStart"/>
      <w:r w:rsidR="00C51B0D">
        <w:t>tedarik</w:t>
      </w:r>
      <w:proofErr w:type="spellEnd"/>
      <w:r w:rsidR="00C51B0D">
        <w:t xml:space="preserve"> </w:t>
      </w:r>
      <w:proofErr w:type="spellStart"/>
      <w:r w:rsidR="00C51B0D">
        <w:t>usulünce</w:t>
      </w:r>
      <w:proofErr w:type="spellEnd"/>
      <w:r w:rsidR="00C51B0D">
        <w:t xml:space="preserve"> </w:t>
      </w:r>
      <w:proofErr w:type="spellStart"/>
      <w:r w:rsidR="00C51B0D">
        <w:t>sözleşme</w:t>
      </w:r>
      <w:proofErr w:type="spellEnd"/>
      <w:r w:rsidR="00C51B0D">
        <w:t xml:space="preserve"> </w:t>
      </w:r>
      <w:proofErr w:type="spellStart"/>
      <w:r w:rsidR="00C51B0D">
        <w:t>şartlarında</w:t>
      </w:r>
      <w:proofErr w:type="spellEnd"/>
      <w:r w:rsidR="00C51B0D">
        <w:t xml:space="preserve"> </w:t>
      </w:r>
      <w:proofErr w:type="spellStart"/>
      <w:r w:rsidR="00C51B0D">
        <w:t>yüklenici</w:t>
      </w:r>
      <w:proofErr w:type="spellEnd"/>
      <w:r w:rsidR="00C51B0D">
        <w:t xml:space="preserve"> </w:t>
      </w:r>
      <w:proofErr w:type="spellStart"/>
      <w:r w:rsidR="00C51B0D">
        <w:t>tarafından</w:t>
      </w:r>
      <w:proofErr w:type="spellEnd"/>
      <w:r w:rsidR="00C51B0D">
        <w:t xml:space="preserve"> </w:t>
      </w:r>
      <w:proofErr w:type="spellStart"/>
      <w:r w:rsidR="00C51B0D">
        <w:t>karşılanacaktır</w:t>
      </w:r>
      <w:proofErr w:type="spellEnd"/>
      <w:r w:rsidR="00C51B0D">
        <w:t>”)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1774D3"/>
    <w:rsid w:val="001F6F23"/>
    <w:rsid w:val="002F6E36"/>
    <w:rsid w:val="0031271C"/>
    <w:rsid w:val="003219DD"/>
    <w:rsid w:val="003765E7"/>
    <w:rsid w:val="00394D46"/>
    <w:rsid w:val="00436840"/>
    <w:rsid w:val="004526EB"/>
    <w:rsid w:val="00491D4F"/>
    <w:rsid w:val="004E77E2"/>
    <w:rsid w:val="00594FBA"/>
    <w:rsid w:val="00597F55"/>
    <w:rsid w:val="005A5A2B"/>
    <w:rsid w:val="007443A8"/>
    <w:rsid w:val="007A6C2B"/>
    <w:rsid w:val="008B1C50"/>
    <w:rsid w:val="008D65B4"/>
    <w:rsid w:val="0096136F"/>
    <w:rsid w:val="00967CDB"/>
    <w:rsid w:val="009C03A8"/>
    <w:rsid w:val="00A57ACA"/>
    <w:rsid w:val="00AF71BC"/>
    <w:rsid w:val="00B23960"/>
    <w:rsid w:val="00B90339"/>
    <w:rsid w:val="00BC4C2C"/>
    <w:rsid w:val="00BD0099"/>
    <w:rsid w:val="00C12279"/>
    <w:rsid w:val="00C51B0D"/>
    <w:rsid w:val="00CB3EB2"/>
    <w:rsid w:val="00D2749A"/>
    <w:rsid w:val="00D33410"/>
    <w:rsid w:val="00D90BE9"/>
    <w:rsid w:val="00E05954"/>
    <w:rsid w:val="00E16B36"/>
    <w:rsid w:val="00E963E9"/>
    <w:rsid w:val="00E9780B"/>
    <w:rsid w:val="00EE7085"/>
    <w:rsid w:val="00F96BCD"/>
    <w:rsid w:val="00FA2F45"/>
    <w:rsid w:val="00FB06C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0249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6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erzincan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19</cp:revision>
  <cp:lastPrinted>2021-05-06T11:10:00Z</cp:lastPrinted>
  <dcterms:created xsi:type="dcterms:W3CDTF">2022-05-13T08:22:00Z</dcterms:created>
  <dcterms:modified xsi:type="dcterms:W3CDTF">2023-04-12T08:04:00Z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