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D16" w14:textId="79D5D124" w:rsidR="00EB4E55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bCs/>
          <w:lang w:eastAsia="tr-TR"/>
        </w:rPr>
      </w:pP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ENERYA </w:t>
      </w:r>
      <w:r w:rsidR="000679F5">
        <w:rPr>
          <w:rFonts w:ascii="Cambria" w:eastAsia="Times New Roman" w:hAnsi="Cambria" w:cstheme="minorHAnsi"/>
          <w:b/>
          <w:bCs/>
          <w:lang w:eastAsia="tr-TR"/>
        </w:rPr>
        <w:t>KONYA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 GAZ DAĞITIM ANONİM ŞİRKETİ</w:t>
      </w:r>
      <w:r w:rsidR="00B92A23" w:rsidRPr="00B92A23">
        <w:rPr>
          <w:rFonts w:ascii="Cambria" w:eastAsia="Times New Roman" w:hAnsi="Cambria" w:cstheme="minorHAnsi"/>
          <w:b/>
          <w:bCs/>
          <w:lang w:eastAsia="tr-TR"/>
        </w:rPr>
        <w:t>’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>NDEN</w:t>
      </w:r>
    </w:p>
    <w:p w14:paraId="59B00098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013AB9F" w14:textId="56814235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Şirketimizin </w:t>
      </w:r>
      <w:r w:rsidR="009411FF">
        <w:rPr>
          <w:rFonts w:ascii="Cambria" w:eastAsia="Times New Roman" w:hAnsi="Cambria" w:cstheme="minorHAnsi"/>
          <w:color w:val="000000"/>
          <w:lang w:eastAsia="tr-TR"/>
        </w:rPr>
        <w:t>Kasım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9342C0">
        <w:rPr>
          <w:rFonts w:ascii="Cambria" w:eastAsia="Times New Roman" w:hAnsi="Cambria" w:cstheme="minorHAnsi"/>
          <w:color w:val="000000"/>
          <w:lang w:eastAsia="tr-TR"/>
        </w:rPr>
        <w:t>202</w:t>
      </w:r>
      <w:r w:rsidR="00A54658">
        <w:rPr>
          <w:rFonts w:ascii="Cambria" w:eastAsia="Times New Roman" w:hAnsi="Cambria" w:cstheme="minorHAnsi"/>
          <w:color w:val="000000"/>
          <w:lang w:eastAsia="tr-TR"/>
        </w:rPr>
        <w:t>5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– </w:t>
      </w:r>
      <w:r w:rsidR="009411FF">
        <w:rPr>
          <w:rFonts w:ascii="Cambria" w:eastAsia="Times New Roman" w:hAnsi="Cambria" w:cstheme="minorHAnsi"/>
          <w:color w:val="000000"/>
          <w:lang w:eastAsia="tr-TR"/>
        </w:rPr>
        <w:t>Ekim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202</w:t>
      </w:r>
      <w:r w:rsidR="00A54658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F1581">
        <w:rPr>
          <w:rFonts w:ascii="Cambria" w:eastAsia="Times New Roman" w:hAnsi="Cambria" w:cstheme="minorHAnsi"/>
          <w:color w:val="000000"/>
          <w:lang w:eastAsia="tr-TR"/>
        </w:rPr>
        <w:t>yılına</w:t>
      </w:r>
      <w:r w:rsidR="009E770D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ilişkin olarak satın alacağı S</w:t>
      </w:r>
      <w:r w:rsidR="00147AC6" w:rsidRPr="00B92A23">
        <w:rPr>
          <w:rFonts w:ascii="Cambria" w:eastAsia="Times New Roman" w:hAnsi="Cambria" w:cstheme="minorHAnsi"/>
          <w:color w:val="000000"/>
          <w:lang w:eastAsia="tr-TR"/>
        </w:rPr>
        <w:t>ıkıştırılmış Doğal Gaz (C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NG) alımı ihalesi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 xml:space="preserve">T.C.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Enerji Piyasası Düzenleme Kurumunun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 xml:space="preserve">(EPDK)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7110-7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7364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 8777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sayılı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K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arar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>ların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daki esaslar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dahilinde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Kapalı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Z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arf ve Açık Eksiltme Usulü ile yapılacaktır.</w:t>
      </w:r>
    </w:p>
    <w:p w14:paraId="1DABDBE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51F673C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1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B43AF3" w:rsidRPr="00B92A23">
        <w:rPr>
          <w:rFonts w:ascii="Cambria" w:eastAsia="Times New Roman" w:hAnsi="Cambria" w:cstheme="minorHAnsi"/>
          <w:color w:val="000000"/>
          <w:lang w:eastAsia="tr-TR"/>
        </w:rPr>
        <w:t>İhaleyi Düzenleyen Şirket</w:t>
      </w:r>
    </w:p>
    <w:p w14:paraId="00C8457D" w14:textId="7471205D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Firma ünvanı : 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>KONYA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GAZ DAĞITIM A.Ş</w:t>
      </w:r>
    </w:p>
    <w:p w14:paraId="69712201" w14:textId="77777777" w:rsidR="000679F5" w:rsidRDefault="000679F5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AA02EA">
        <w:rPr>
          <w:rFonts w:ascii="Cambria" w:hAnsi="Cambria" w:cstheme="minorHAnsi"/>
          <w:color w:val="000000"/>
          <w:sz w:val="22"/>
          <w:szCs w:val="22"/>
        </w:rPr>
        <w:t>İçerenköy, Yeşilvadi Sokak, No: 3, Kat:4, Ataşehir, İstanbul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1153EDB4" w14:textId="7FBF501B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Tel :444 8 429</w:t>
      </w:r>
    </w:p>
    <w:p w14:paraId="5BD2D3FD" w14:textId="7F44D7AA" w:rsidR="00B43AF3" w:rsidRPr="00B92A23" w:rsidRDefault="00852E0B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Fax:</w:t>
      </w:r>
      <w:r w:rsidR="000679F5" w:rsidRPr="000679F5">
        <w:t xml:space="preserve"> 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>(216) 665 1301</w:t>
      </w:r>
    </w:p>
    <w:p w14:paraId="62275826" w14:textId="77777777" w:rsidR="001E52D9" w:rsidRPr="001E52D9" w:rsidRDefault="00313E3F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Style w:val="Kpr"/>
          <w:rFonts w:ascii="Cambria" w:hAnsi="Cambria" w:cstheme="minorHAnsi"/>
          <w:color w:val="000000"/>
          <w:sz w:val="22"/>
          <w:szCs w:val="22"/>
          <w:u w:val="none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Elektronik posta adresi: </w:t>
      </w:r>
      <w:hyperlink r:id="rId8" w:history="1">
        <w:r w:rsidR="000679F5" w:rsidRPr="007947EA">
          <w:rPr>
            <w:rStyle w:val="Kpr"/>
            <w:rFonts w:ascii="Cambria" w:hAnsi="Cambria" w:cstheme="minorHAnsi"/>
            <w:sz w:val="22"/>
            <w:szCs w:val="22"/>
          </w:rPr>
          <w:t>enerya.konya@hs02.kep.tr</w:t>
        </w:r>
      </w:hyperlink>
    </w:p>
    <w:p w14:paraId="421B7EF1" w14:textId="485E0896" w:rsidR="007E0D4B" w:rsidRPr="001E52D9" w:rsidRDefault="001E52D9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sz w:val="22"/>
          <w:szCs w:val="22"/>
        </w:rPr>
      </w:pPr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 xml:space="preserve">web adresi: </w:t>
      </w:r>
      <w:r w:rsidR="007E0D4B" w:rsidRPr="001E52D9">
        <w:rPr>
          <w:rFonts w:ascii="Cambria" w:hAnsi="Cambria" w:cstheme="minorHAnsi"/>
          <w:sz w:val="22"/>
          <w:szCs w:val="22"/>
        </w:rPr>
        <w:t xml:space="preserve">  </w:t>
      </w:r>
      <w:hyperlink r:id="rId9" w:history="1">
        <w:r w:rsidRPr="001E52D9">
          <w:rPr>
            <w:rStyle w:val="Kpr"/>
            <w:rFonts w:ascii="Cambria" w:hAnsi="Cambria" w:cstheme="minorHAnsi"/>
            <w:sz w:val="22"/>
            <w:szCs w:val="22"/>
          </w:rPr>
          <w:t>https://www.enerya.com.tr</w:t>
        </w:r>
      </w:hyperlink>
    </w:p>
    <w:p w14:paraId="33E1C69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78D0717" w14:textId="64C40BCA" w:rsidR="00EB4E55" w:rsidRPr="00B92A23" w:rsidRDefault="0007192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2 – İhale/Teklif 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>konusu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;</w:t>
      </w:r>
    </w:p>
    <w:p w14:paraId="7855F4F0" w14:textId="5F4CF8C7" w:rsidR="00EB4E55" w:rsidRPr="00B92A23" w:rsidRDefault="0007192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Adı</w:t>
      </w:r>
      <w:r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C</w:t>
      </w:r>
      <w:r w:rsidRPr="00B92A23">
        <w:rPr>
          <w:rFonts w:ascii="Cambria" w:hAnsi="Cambria" w:cstheme="minorHAnsi"/>
          <w:color w:val="000000"/>
          <w:sz w:val="22"/>
          <w:szCs w:val="22"/>
        </w:rPr>
        <w:t>NG (</w:t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Sıkıştırılmış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Doğal Gaz) </w:t>
      </w:r>
      <w:r w:rsidR="00951C67" w:rsidRPr="00B92A23">
        <w:rPr>
          <w:rFonts w:ascii="Cambria" w:hAnsi="Cambria" w:cstheme="minorHAnsi"/>
          <w:color w:val="000000"/>
          <w:sz w:val="22"/>
          <w:szCs w:val="22"/>
        </w:rPr>
        <w:t>Alımı</w:t>
      </w:r>
    </w:p>
    <w:p w14:paraId="14A2977F" w14:textId="7D39A2AD" w:rsidR="00EB4E55" w:rsidRPr="00B92A23" w:rsidRDefault="00B43AF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M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iktarı 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>(Fiziki) ve Türü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Teknik </w:t>
      </w:r>
      <w:r w:rsidR="00CC6DCB" w:rsidRPr="00B92A23">
        <w:rPr>
          <w:rFonts w:ascii="Cambria" w:hAnsi="Cambria" w:cstheme="minorHAnsi"/>
          <w:color w:val="000000"/>
          <w:sz w:val="22"/>
          <w:szCs w:val="22"/>
        </w:rPr>
        <w:t>Şartnamede belirtilmiştir.</w:t>
      </w:r>
    </w:p>
    <w:p w14:paraId="3C9AA3CD" w14:textId="101BB0DB" w:rsidR="00C10C35" w:rsidRPr="00B92A23" w:rsidRDefault="00765079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 xml:space="preserve">Konya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Gaz Dağıtım A.Ş. </w:t>
      </w:r>
      <w:r>
        <w:rPr>
          <w:rFonts w:ascii="Cambria" w:hAnsi="Cambria" w:cstheme="minorHAnsi"/>
          <w:color w:val="000000"/>
          <w:sz w:val="22"/>
          <w:szCs w:val="22"/>
        </w:rPr>
        <w:t>Dağıtım Lisans Sınırları İçi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29580478" w14:textId="26DBA431" w:rsidR="006F4C87" w:rsidRPr="00A72DB2" w:rsidRDefault="00765079" w:rsidP="006F4C87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7A08D7"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 xml:space="preserve"> Adres</w:t>
      </w:r>
      <w:r w:rsidR="00B92A23" w:rsidRPr="007A08D7">
        <w:rPr>
          <w:rFonts w:ascii="Cambria" w:hAnsi="Cambria" w:cstheme="minorHAnsi"/>
          <w:color w:val="000000"/>
          <w:sz w:val="22"/>
          <w:szCs w:val="22"/>
        </w:rPr>
        <w:tab/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>:</w:t>
      </w:r>
      <w:r w:rsidR="00B92A23" w:rsidRPr="007A08D7">
        <w:rPr>
          <w:rFonts w:ascii="Cambria" w:hAnsi="Cambria" w:cstheme="minorHAnsi"/>
          <w:color w:val="000000"/>
          <w:sz w:val="22"/>
          <w:szCs w:val="22"/>
        </w:rPr>
        <w:tab/>
      </w:r>
      <w:r w:rsidR="00550630" w:rsidRPr="00A72DB2">
        <w:rPr>
          <w:rFonts w:ascii="Cambria" w:hAnsi="Cambria" w:cs="Tahoma"/>
          <w:sz w:val="22"/>
          <w:szCs w:val="22"/>
        </w:rPr>
        <w:t>Enerya’nın</w:t>
      </w:r>
      <w:r w:rsidR="00550630" w:rsidRPr="00A72DB2">
        <w:rPr>
          <w:rFonts w:ascii="Cambria" w:hAnsi="Cambria" w:cs="Calibri"/>
          <w:sz w:val="22"/>
          <w:szCs w:val="22"/>
        </w:rPr>
        <w:t>, Derbent/KONYA, Üzümlü (Beyşehir)/KONYA, Huğlu (Beyşehir)/KONYA</w:t>
      </w:r>
      <w:r w:rsidR="00550630" w:rsidRPr="00A72DB2">
        <w:rPr>
          <w:rFonts w:ascii="Cambria" w:hAnsi="Cambria" w:cs="Tahoma"/>
          <w:sz w:val="22"/>
          <w:szCs w:val="22"/>
        </w:rPr>
        <w:t xml:space="preserve"> kentinde</w:t>
      </w:r>
    </w:p>
    <w:p w14:paraId="0EBAF85B" w14:textId="46508191" w:rsidR="00CC6DCB" w:rsidRPr="00B92A23" w:rsidRDefault="00C10C35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Tedarik 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süresi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9411FF">
        <w:rPr>
          <w:rFonts w:ascii="Cambria" w:hAnsi="Cambria" w:cstheme="minorHAnsi"/>
          <w:color w:val="000000"/>
          <w:sz w:val="22"/>
          <w:szCs w:val="22"/>
        </w:rPr>
        <w:t>Kasım</w:t>
      </w:r>
      <w:r w:rsidR="00C708F9" w:rsidRPr="007A08D7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9E770D" w:rsidRPr="007A08D7">
        <w:rPr>
          <w:rFonts w:ascii="Cambria" w:hAnsi="Cambria" w:cstheme="minorHAnsi"/>
          <w:color w:val="000000" w:themeColor="text1"/>
          <w:sz w:val="22"/>
          <w:szCs w:val="22"/>
        </w:rPr>
        <w:t>20</w:t>
      </w:r>
      <w:r w:rsidR="009342C0" w:rsidRPr="007A08D7">
        <w:rPr>
          <w:rFonts w:ascii="Cambria" w:hAnsi="Cambria" w:cstheme="minorHAnsi"/>
          <w:color w:val="000000" w:themeColor="text1"/>
          <w:sz w:val="22"/>
          <w:szCs w:val="22"/>
        </w:rPr>
        <w:t>2</w:t>
      </w:r>
      <w:r w:rsidR="00A54658">
        <w:rPr>
          <w:rFonts w:ascii="Cambria" w:hAnsi="Cambria" w:cstheme="minorHAnsi"/>
          <w:color w:val="000000" w:themeColor="text1"/>
          <w:sz w:val="22"/>
          <w:szCs w:val="22"/>
        </w:rPr>
        <w:t>5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>-</w:t>
      </w:r>
      <w:r w:rsidR="002743BF" w:rsidRPr="007A08D7">
        <w:rPr>
          <w:rFonts w:ascii="Cambria" w:hAnsi="Cambria" w:cstheme="minorHAnsi"/>
          <w:color w:val="000000" w:themeColor="text1"/>
          <w:sz w:val="22"/>
          <w:szCs w:val="22"/>
        </w:rPr>
        <w:t>E</w:t>
      </w:r>
      <w:r w:rsidR="009411FF">
        <w:rPr>
          <w:rFonts w:ascii="Cambria" w:hAnsi="Cambria" w:cstheme="minorHAnsi"/>
          <w:color w:val="000000" w:themeColor="text1"/>
          <w:sz w:val="22"/>
          <w:szCs w:val="22"/>
        </w:rPr>
        <w:t>kim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 xml:space="preserve"> 202</w:t>
      </w:r>
      <w:r w:rsidR="00A54658">
        <w:rPr>
          <w:rFonts w:ascii="Cambria" w:hAnsi="Cambria" w:cstheme="minorHAnsi"/>
          <w:color w:val="000000" w:themeColor="text1"/>
          <w:sz w:val="22"/>
          <w:szCs w:val="22"/>
        </w:rPr>
        <w:t>6</w:t>
      </w:r>
    </w:p>
    <w:p w14:paraId="35D680D1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118AFE4" w14:textId="77777777" w:rsidR="00AC1148" w:rsidRPr="00B92A23" w:rsidRDefault="00B43AF3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3-</w:t>
      </w:r>
      <w:r w:rsidR="00071923" w:rsidRPr="00B92A23">
        <w:rPr>
          <w:rFonts w:ascii="Cambria" w:hAnsi="Cambria" w:cstheme="minorHAnsi"/>
          <w:color w:val="000000"/>
        </w:rPr>
        <w:t>İhalenin;</w:t>
      </w:r>
    </w:p>
    <w:p w14:paraId="1F66533F" w14:textId="6E8EBF86" w:rsidR="001E52D9" w:rsidRDefault="00071923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a)</w:t>
      </w:r>
      <w:r w:rsidR="00B92A23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>Yapılacağı Yer</w:t>
      </w:r>
      <w:r w:rsidR="001E52D9">
        <w:rPr>
          <w:rFonts w:ascii="Cambria" w:hAnsi="Cambria" w:cstheme="minorHAnsi"/>
          <w:color w:val="000000"/>
        </w:rPr>
        <w:t xml:space="preserve"> ve dosya teslim adresi</w:t>
      </w:r>
      <w:r w:rsidRPr="00B92A23">
        <w:rPr>
          <w:rFonts w:ascii="Cambria" w:hAnsi="Cambria" w:cstheme="minorHAnsi"/>
          <w:color w:val="000000"/>
        </w:rPr>
        <w:t>:</w:t>
      </w:r>
      <w:r w:rsidR="001E52D9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 xml:space="preserve"> Enerya </w:t>
      </w:r>
      <w:r w:rsidR="000679F5">
        <w:rPr>
          <w:rFonts w:ascii="Cambria" w:hAnsi="Cambria" w:cstheme="minorHAnsi"/>
          <w:color w:val="000000"/>
        </w:rPr>
        <w:t>Konya</w:t>
      </w:r>
      <w:r w:rsidR="00147AC6" w:rsidRPr="00B92A23">
        <w:rPr>
          <w:rFonts w:ascii="Cambria" w:hAnsi="Cambria" w:cstheme="minorHAnsi"/>
          <w:color w:val="000000"/>
        </w:rPr>
        <w:t xml:space="preserve"> G</w:t>
      </w:r>
      <w:r w:rsidR="00852E0B" w:rsidRPr="00B92A23">
        <w:rPr>
          <w:rFonts w:ascii="Cambria" w:hAnsi="Cambria" w:cstheme="minorHAnsi"/>
          <w:color w:val="000000"/>
        </w:rPr>
        <w:t xml:space="preserve">az Dağıtım A.Ş. Şube -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AA02EA">
        <w:rPr>
          <w:rFonts w:ascii="Cambria" w:hAnsi="Cambria" w:cstheme="minorHAnsi"/>
          <w:color w:val="000000"/>
        </w:rPr>
        <w:t xml:space="preserve"> Yeşilvadi Sokak No:3/4</w:t>
      </w:r>
      <w:r w:rsidRPr="00B92A23">
        <w:rPr>
          <w:rFonts w:ascii="Cambria" w:hAnsi="Cambria" w:cstheme="minorHAnsi"/>
          <w:color w:val="000000"/>
        </w:rPr>
        <w:t xml:space="preserve"> Ataşehir /İ</w:t>
      </w:r>
      <w:r w:rsidR="00FB7E18" w:rsidRPr="00B92A23">
        <w:rPr>
          <w:rFonts w:ascii="Cambria" w:hAnsi="Cambria" w:cstheme="minorHAnsi"/>
          <w:color w:val="000000"/>
        </w:rPr>
        <w:t xml:space="preserve">stanbul </w:t>
      </w:r>
    </w:p>
    <w:p w14:paraId="155FDDC1" w14:textId="624F8320" w:rsidR="00FB7E18" w:rsidRPr="00B92A23" w:rsidRDefault="00FB7E18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 xml:space="preserve"> </w:t>
      </w:r>
      <w:bookmarkStart w:id="0" w:name="_GoBack"/>
      <w:bookmarkEnd w:id="0"/>
    </w:p>
    <w:p w14:paraId="19CAFD16" w14:textId="0BA9D15F" w:rsidR="00CE60C4" w:rsidRPr="00A72DB2" w:rsidRDefault="00147AC6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</w:rPr>
      </w:pPr>
      <w:r w:rsidRPr="00A72DB2">
        <w:rPr>
          <w:rFonts w:ascii="Cambria" w:hAnsi="Cambria" w:cstheme="minorHAnsi"/>
        </w:rPr>
        <w:t>b)</w:t>
      </w:r>
      <w:r w:rsidR="00B92A23" w:rsidRPr="00A72DB2">
        <w:rPr>
          <w:rFonts w:ascii="Cambria" w:hAnsi="Cambria" w:cstheme="minorHAnsi"/>
        </w:rPr>
        <w:t xml:space="preserve"> </w:t>
      </w:r>
      <w:r w:rsidR="009B2D78" w:rsidRPr="00A72DB2">
        <w:rPr>
          <w:rFonts w:ascii="Cambria" w:hAnsi="Cambria" w:cstheme="minorHAnsi"/>
        </w:rPr>
        <w:t xml:space="preserve">İhale ve Dosya Son Teslim </w:t>
      </w:r>
      <w:r w:rsidRPr="00A72DB2">
        <w:rPr>
          <w:rFonts w:ascii="Cambria" w:hAnsi="Cambria" w:cstheme="minorHAnsi"/>
        </w:rPr>
        <w:t>Tarihi ve saati</w:t>
      </w:r>
      <w:r w:rsidRPr="00A72DB2">
        <w:rPr>
          <w:rFonts w:ascii="Cambria" w:hAnsi="Cambria" w:cstheme="minorHAnsi"/>
        </w:rPr>
        <w:tab/>
      </w:r>
      <w:r w:rsidRPr="00A72DB2">
        <w:rPr>
          <w:rFonts w:ascii="Cambria" w:hAnsi="Cambria" w:cstheme="minorHAnsi"/>
        </w:rPr>
        <w:tab/>
        <w:t xml:space="preserve">: </w:t>
      </w:r>
      <w:r w:rsidR="009411FF">
        <w:rPr>
          <w:rFonts w:ascii="Cambria" w:hAnsi="Cambria" w:cstheme="minorHAnsi"/>
        </w:rPr>
        <w:t>03</w:t>
      </w:r>
      <w:r w:rsidR="0072009C" w:rsidRPr="00A72DB2">
        <w:rPr>
          <w:rFonts w:ascii="Cambria" w:hAnsi="Cambria" w:cstheme="minorHAnsi"/>
        </w:rPr>
        <w:t>.</w:t>
      </w:r>
      <w:r w:rsidR="009411FF">
        <w:rPr>
          <w:rFonts w:ascii="Cambria" w:hAnsi="Cambria" w:cstheme="minorHAnsi"/>
        </w:rPr>
        <w:t>11</w:t>
      </w:r>
      <w:r w:rsidR="005849BD" w:rsidRPr="00A72DB2">
        <w:rPr>
          <w:rFonts w:ascii="Cambria" w:hAnsi="Cambria" w:cstheme="minorHAnsi"/>
        </w:rPr>
        <w:t>.202</w:t>
      </w:r>
      <w:r w:rsidR="00A54658" w:rsidRPr="00A72DB2">
        <w:rPr>
          <w:rFonts w:ascii="Cambria" w:hAnsi="Cambria" w:cstheme="minorHAnsi"/>
        </w:rPr>
        <w:t>5</w:t>
      </w:r>
      <w:r w:rsidR="00FB7E18" w:rsidRPr="00A72DB2">
        <w:rPr>
          <w:rFonts w:ascii="Cambria" w:hAnsi="Cambria" w:cstheme="minorHAnsi"/>
        </w:rPr>
        <w:t xml:space="preserve"> – Saat: </w:t>
      </w:r>
      <w:r w:rsidR="00C9395E" w:rsidRPr="00A72DB2">
        <w:rPr>
          <w:rFonts w:ascii="Cambria" w:hAnsi="Cambria" w:cstheme="minorHAnsi"/>
        </w:rPr>
        <w:t>1</w:t>
      </w:r>
      <w:r w:rsidR="00D26714" w:rsidRPr="00A72DB2">
        <w:rPr>
          <w:rFonts w:ascii="Cambria" w:hAnsi="Cambria" w:cstheme="minorHAnsi"/>
        </w:rPr>
        <w:t>0:00</w:t>
      </w:r>
    </w:p>
    <w:p w14:paraId="1B5BE729" w14:textId="77777777" w:rsidR="00EB4E55" w:rsidRPr="00B92A23" w:rsidRDefault="00CC6DCB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2FBFC788" w14:textId="03DA56E7" w:rsidR="00EB4E55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4 - İhaleye katılabilmek için gereken belgeler ve yeterlik kriterleri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Ş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>artnamede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,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işin teknik özellikleri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ve miktarı Teknik Ş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artnamede belirtilmiştir.</w:t>
      </w:r>
    </w:p>
    <w:p w14:paraId="6B566E01" w14:textId="77777777" w:rsidR="00FB7E18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DC70A65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5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İsteklilerin, ihaleye katılabilmeleri için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ve Teknik Ş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artnamelerde sayılan belgelerin, teklifleri ile birlikte sunmaları gerekir. </w:t>
      </w:r>
    </w:p>
    <w:p w14:paraId="07E6A7D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6C1091E" w14:textId="04B2FA06" w:rsidR="00FB7E18" w:rsidRDefault="0092585F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6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İhale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dokümanı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; </w:t>
      </w:r>
      <w:r w:rsidR="00FB7E18" w:rsidRPr="00B92A23">
        <w:rPr>
          <w:rFonts w:ascii="Cambria" w:hAnsi="Cambria" w:cstheme="minorHAnsi"/>
          <w:color w:val="000000"/>
        </w:rPr>
        <w:t xml:space="preserve">Enerya </w:t>
      </w:r>
      <w:r w:rsidR="000679F5">
        <w:rPr>
          <w:rFonts w:ascii="Cambria" w:hAnsi="Cambria" w:cstheme="minorHAnsi"/>
          <w:color w:val="000000"/>
        </w:rPr>
        <w:t>Konya</w:t>
      </w:r>
      <w:r w:rsidR="00FB7E18" w:rsidRPr="00B92A23">
        <w:rPr>
          <w:rFonts w:ascii="Cambria" w:hAnsi="Cambria" w:cstheme="minorHAnsi"/>
          <w:color w:val="000000"/>
        </w:rPr>
        <w:t xml:space="preserve"> Gaz Dağıtım A.Ş.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Yeşilvadi Sokak</w:t>
      </w:r>
      <w:r w:rsidR="006957CC">
        <w:rPr>
          <w:rFonts w:ascii="Cambria" w:hAnsi="Cambria" w:cstheme="minorHAnsi"/>
          <w:color w:val="000000"/>
        </w:rPr>
        <w:t>,</w:t>
      </w:r>
      <w:r w:rsidR="00AA02EA">
        <w:rPr>
          <w:rFonts w:ascii="Cambria" w:hAnsi="Cambria" w:cstheme="minorHAnsi"/>
          <w:color w:val="000000"/>
        </w:rPr>
        <w:t xml:space="preserve"> No:3/4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Ataşehir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İstanbul adresinde</w:t>
      </w:r>
      <w:r w:rsidR="00E55953" w:rsidRPr="00B92A23">
        <w:rPr>
          <w:rFonts w:ascii="Cambria" w:hAnsi="Cambria" w:cstheme="minorHAnsi"/>
          <w:color w:val="000000"/>
        </w:rPr>
        <w:t>ki Şube merkezinde</w:t>
      </w:r>
      <w:r w:rsidR="00FB7E18" w:rsidRPr="00B92A23">
        <w:rPr>
          <w:rFonts w:ascii="Cambria" w:hAnsi="Cambria" w:cstheme="minorHAnsi"/>
          <w:color w:val="000000"/>
        </w:rPr>
        <w:t xml:space="preserve"> görülüp, teslim alınabileceği gibi </w:t>
      </w:r>
      <w:hyperlink r:id="rId10" w:history="1">
        <w:r w:rsidR="009342C0" w:rsidRPr="000C42E3">
          <w:rPr>
            <w:rStyle w:val="Kpr"/>
            <w:rFonts w:ascii="Cambria" w:hAnsi="Cambria" w:cstheme="minorHAnsi"/>
          </w:rPr>
          <w:t>https://www.enerya.com.tr/</w:t>
        </w:r>
      </w:hyperlink>
      <w:r w:rsidR="00F60C93" w:rsidRPr="00B92A23">
        <w:rPr>
          <w:rFonts w:ascii="Cambria" w:hAnsi="Cambria" w:cstheme="minorHAnsi"/>
          <w:color w:val="000000"/>
        </w:rPr>
        <w:t xml:space="preserve"> web adresinden de tüm İ</w:t>
      </w:r>
      <w:r w:rsidR="00FB7E18" w:rsidRPr="00B92A23">
        <w:rPr>
          <w:rFonts w:ascii="Cambria" w:hAnsi="Cambria" w:cstheme="minorHAnsi"/>
          <w:color w:val="000000"/>
        </w:rPr>
        <w:t>stekliler ta</w:t>
      </w:r>
      <w:r w:rsidR="00F60C93" w:rsidRPr="00B92A23">
        <w:rPr>
          <w:rFonts w:ascii="Cambria" w:hAnsi="Cambria" w:cstheme="minorHAnsi"/>
          <w:color w:val="000000"/>
        </w:rPr>
        <w:t>rafın</w:t>
      </w:r>
      <w:r w:rsidR="00FB7E18" w:rsidRPr="00B92A23">
        <w:rPr>
          <w:rFonts w:ascii="Cambria" w:hAnsi="Cambria" w:cstheme="minorHAnsi"/>
          <w:color w:val="000000"/>
        </w:rPr>
        <w:t xml:space="preserve">dan görülüp, incelenebilir. </w:t>
      </w:r>
    </w:p>
    <w:p w14:paraId="612E7758" w14:textId="77777777" w:rsidR="00721E9C" w:rsidRPr="00B92A23" w:rsidRDefault="00721E9C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</w:p>
    <w:p w14:paraId="268797F8" w14:textId="69154236" w:rsidR="00EB4E55" w:rsidRPr="00B92A23" w:rsidRDefault="00E82F6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A72DB2">
        <w:rPr>
          <w:rFonts w:ascii="Cambria" w:eastAsia="Times New Roman" w:hAnsi="Cambria" w:cstheme="minorHAnsi"/>
          <w:lang w:eastAsia="tr-TR"/>
        </w:rPr>
        <w:t>7 – İhaleye; Enerji Piyasası Düzenleme Kurumun (EPDK)'dan alınmış ve yürürlükte olmak şartı ile CNG faaliyetleri için gerekli lisanların ikisine de (1-CNG Satış Lisansı, 2- CNG İletim ve Dağıtım Lisansı) sahip   İSTEKLİLER katılabileceklerdir.</w:t>
      </w:r>
    </w:p>
    <w:p w14:paraId="3ADDD74A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B9915AF" w14:textId="77777777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8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İstekliler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in veya kanuni temsilcilerinin ihale gün ve saatinde ihalenin düzenleneceği yerde hazır bulunmaları gerekmektedir. </w:t>
      </w:r>
    </w:p>
    <w:p w14:paraId="6AE1D8AD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4259A8" w14:textId="108E97ED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9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Teklifler;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ihale tarih ve saatine kadar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İçerenköy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Yeşilvadi So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kak,</w:t>
      </w:r>
      <w:r w:rsidR="00AA02EA">
        <w:rPr>
          <w:rFonts w:ascii="Cambria" w:eastAsia="Times New Roman" w:hAnsi="Cambria" w:cstheme="minorHAnsi"/>
          <w:color w:val="000000"/>
          <w:lang w:eastAsia="tr-TR"/>
        </w:rPr>
        <w:t xml:space="preserve"> No:3/4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Ataşehir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,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İstanbul adresine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elden teslim edilebileceği gibi, aynı adrese iadeli taahhütlü posta vasıtasıyla da gönderilebilir. İhale açık eksi</w:t>
      </w:r>
      <w:r w:rsidR="00923169" w:rsidRPr="00B92A23">
        <w:rPr>
          <w:rFonts w:ascii="Cambria" w:eastAsia="Times New Roman" w:hAnsi="Cambria" w:cstheme="minorHAnsi"/>
          <w:color w:val="000000"/>
          <w:lang w:eastAsia="tr-TR"/>
        </w:rPr>
        <w:t>l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tme olarak gerçekleşeceği için İsteklilerin ve/veya vekillerinin ihaleye katılımı zorunlu olup katılan bu isteklilerin pey sürmek (fiyat indirmeye) üzere imza sirkülerinin ve vekâletinin teklif dosyası içerinde sunulması zorunludur. </w:t>
      </w:r>
    </w:p>
    <w:p w14:paraId="0D768921" w14:textId="77777777" w:rsidR="008C490A" w:rsidRPr="00B92A23" w:rsidRDefault="008C490A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777DA6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Teklif zarfı üzerinde bulunması gereken ifadeler:</w:t>
      </w:r>
    </w:p>
    <w:p w14:paraId="5E1C07CB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463E350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veren isteklinin Ticaret Unvanı, Açık Adresi ve İletişim Bilgileri</w:t>
      </w:r>
    </w:p>
    <w:p w14:paraId="37147BD5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lastRenderedPageBreak/>
        <w:t>Teklif Verilen Şirket Ticari Unvanı, İşin Adı, Teklif Tarihi ve Saati</w:t>
      </w:r>
    </w:p>
    <w:p w14:paraId="27DF7951" w14:textId="77777777" w:rsidR="00DE0341" w:rsidRPr="00B92A23" w:rsidRDefault="00DE0341" w:rsidP="00BB0ADA">
      <w:pPr>
        <w:snapToGrid w:val="0"/>
        <w:spacing w:after="0" w:line="240" w:lineRule="auto"/>
        <w:ind w:left="360" w:right="-567"/>
        <w:jc w:val="both"/>
        <w:rPr>
          <w:rFonts w:ascii="Cambria" w:hAnsi="Cambria" w:cstheme="minorHAnsi"/>
          <w:color w:val="000000"/>
        </w:rPr>
      </w:pPr>
    </w:p>
    <w:p w14:paraId="433DD13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0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 xml:space="preserve">Bu ihalede kısmi ve şartlı teklif verilmeyecektir. </w:t>
      </w:r>
    </w:p>
    <w:p w14:paraId="3590456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AC38E7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Ekonomik açıdan en avantajlı teklif değerlendirmesinde; İsteklilerin bulunduğu birinci oturumda İstekliler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 tarafından sunulan dokümanlar ile evrak kontrolü yapılarak, İhale Komisyonunca değerlendirilmesi yapılacaktır. İhale Komisyonu ikinci oturumda sunulan teklif mektuplarını açarak fiyatları ilan edecek, ilan edilen teklif fiyatları üzerinden; en düşük teklif veren 3 (üç) İstekli açık eksiltmeye davet edilecektir. Davet edilen İstekliler haricinde ihalenin bu aşamasına diğer İstekliler katılamaz. İhale sonuç kararı;  </w:t>
      </w:r>
      <w:hyperlink r:id="rId11" w:history="1">
        <w:r w:rsidR="00E075CE" w:rsidRPr="00B92A23">
          <w:rPr>
            <w:rStyle w:val="Kpr"/>
            <w:rFonts w:ascii="Cambria" w:hAnsi="Cambria" w:cstheme="minorHAnsi"/>
          </w:rPr>
          <w:t>https://www.enerya.com.tr</w:t>
        </w:r>
      </w:hyperlink>
      <w:r w:rsidR="00E075CE" w:rsidRPr="00B92A23">
        <w:rPr>
          <w:rFonts w:ascii="Cambria" w:hAnsi="Cambria" w:cstheme="minorHAnsi"/>
          <w:color w:val="000000"/>
        </w:rPr>
        <w:t xml:space="preserve"> web adresinde ilan edilerek, ihaleye katılan tüm İsteklilere eş zamanlı o</w:t>
      </w:r>
      <w:r w:rsidR="00E55953" w:rsidRPr="00B92A23">
        <w:rPr>
          <w:rFonts w:ascii="Cambria" w:hAnsi="Cambria" w:cstheme="minorHAnsi"/>
          <w:color w:val="000000"/>
        </w:rPr>
        <w:t>l</w:t>
      </w:r>
      <w:r w:rsidR="00E075CE" w:rsidRPr="00B92A23">
        <w:rPr>
          <w:rFonts w:ascii="Cambria" w:hAnsi="Cambria" w:cstheme="minorHAnsi"/>
          <w:color w:val="000000"/>
        </w:rPr>
        <w:t>arak bildirilecektir.</w:t>
      </w:r>
    </w:p>
    <w:p w14:paraId="3B3DED82" w14:textId="77777777" w:rsidR="00EB4E55" w:rsidRPr="0031224E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51CD728F" w14:textId="3245B90C" w:rsidR="007411AD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2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Verilen tekliflerin geçerlilik süresi, ihale tarihinden itibaren en a</w:t>
      </w:r>
      <w:r w:rsidR="00765079">
        <w:rPr>
          <w:rFonts w:ascii="Cambria" w:eastAsia="Times New Roman" w:hAnsi="Cambria" w:cstheme="minorHAnsi"/>
          <w:color w:val="000000"/>
          <w:lang w:eastAsia="tr-TR"/>
        </w:rPr>
        <w:t>z 30 (otuz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) takvim günü olmalıdır. </w:t>
      </w:r>
    </w:p>
    <w:p w14:paraId="51B0CC16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69256AA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13 – Konsorsiyumlar ihaleye teklif veremezler.</w:t>
      </w:r>
    </w:p>
    <w:p w14:paraId="37137619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0A67BB8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14 – Bu ihale (ceza ve yasaklamalarla ilgili hu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lar hariç) 4734 ve 4735 sayılı Kamu İhale kanunlarına tabi değildir.</w:t>
      </w:r>
    </w:p>
    <w:p w14:paraId="0DE50522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367E3C20" w14:textId="59EA4663" w:rsidR="00FC7A71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15 – Tüketim Miktarları</w:t>
      </w:r>
    </w:p>
    <w:p w14:paraId="0B9B1AA9" w14:textId="585A7EF0" w:rsidR="00FC7A71" w:rsidRDefault="00FC7A7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2F4792C0" w14:textId="2A6F4364" w:rsidR="00566295" w:rsidRDefault="0056629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9A26429" w14:textId="77777777" w:rsidR="00333849" w:rsidRDefault="0033384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>
        <w:rPr>
          <w:rFonts w:ascii="Cambria" w:eastAsia="Times New Roman" w:hAnsi="Cambria" w:cstheme="minorHAnsi"/>
          <w:color w:val="000000"/>
          <w:lang w:eastAsia="tr-TR"/>
        </w:rPr>
        <w:tab/>
      </w:r>
    </w:p>
    <w:tbl>
      <w:tblPr>
        <w:tblW w:w="7024" w:type="dxa"/>
        <w:tblInd w:w="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187"/>
        <w:gridCol w:w="1552"/>
        <w:gridCol w:w="1699"/>
        <w:gridCol w:w="1560"/>
      </w:tblGrid>
      <w:tr w:rsidR="00333849" w:rsidRPr="00333849" w14:paraId="53F230A3" w14:textId="77777777" w:rsidTr="003836FD">
        <w:trPr>
          <w:trHeight w:val="631"/>
        </w:trPr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968B1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  <w:t>YIL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0214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  <w:t>AY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8072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TESLİM NOKTASI 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84A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TESLİM NOKTASI ;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FD4C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TESLİM NOKTASI </w:t>
            </w:r>
          </w:p>
        </w:tc>
      </w:tr>
      <w:tr w:rsidR="00333849" w:rsidRPr="00333849" w14:paraId="1E7E2E6E" w14:textId="77777777" w:rsidTr="003836FD">
        <w:trPr>
          <w:trHeight w:val="48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0C9DD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CE54D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6F6B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DERBENT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61C4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HUĞLU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8CD2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ÜZÜMLÜ</w:t>
            </w:r>
          </w:p>
        </w:tc>
      </w:tr>
      <w:tr w:rsidR="00333849" w:rsidRPr="00333849" w14:paraId="5B185A16" w14:textId="77777777" w:rsidTr="003836FD">
        <w:trPr>
          <w:trHeight w:val="293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7F924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DC959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2B0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MİKTAR Sm3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9C1D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MİKTAR Sm3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F12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MİKTAR Sm3</w:t>
            </w:r>
          </w:p>
        </w:tc>
      </w:tr>
      <w:tr w:rsidR="00333849" w:rsidRPr="00333849" w14:paraId="0D1F4AA3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D8CE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365E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KASIM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B8A4B0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2ED8C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172.422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AFE635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247.050</w:t>
            </w:r>
          </w:p>
        </w:tc>
      </w:tr>
      <w:tr w:rsidR="00333849" w:rsidRPr="00333849" w14:paraId="0B195DC8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EF85B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A63D3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ARALIK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A441F0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88.404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825513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226.945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069F48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325.172</w:t>
            </w:r>
          </w:p>
        </w:tc>
      </w:tr>
      <w:tr w:rsidR="00333849" w:rsidRPr="00333849" w14:paraId="787FF426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8637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CD8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OCAK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5EDA4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164.206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9A8380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317.809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B36D96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455.364</w:t>
            </w:r>
          </w:p>
        </w:tc>
      </w:tr>
      <w:tr w:rsidR="00333849" w:rsidRPr="00333849" w14:paraId="7D0F3F06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473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1606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ŞUBAT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61D1B9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136.013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79579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263.244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EE390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377.181</w:t>
            </w:r>
          </w:p>
        </w:tc>
      </w:tr>
      <w:tr w:rsidR="00333849" w:rsidRPr="00333849" w14:paraId="4707F414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B5E6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C27F8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MART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6591D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110.975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5AFD5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214.783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F779C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307.746</w:t>
            </w:r>
          </w:p>
        </w:tc>
      </w:tr>
      <w:tr w:rsidR="00333849" w:rsidRPr="00333849" w14:paraId="4628B971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B77DD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0F88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NİSAN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AC1B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70.653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26D702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136.744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134AC7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195.930</w:t>
            </w:r>
          </w:p>
        </w:tc>
      </w:tr>
      <w:tr w:rsidR="00333849" w:rsidRPr="00333849" w14:paraId="162EBCC1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F55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343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MAYIS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C115C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27.697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299F0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53.606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E869C6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76.809</w:t>
            </w:r>
          </w:p>
        </w:tc>
      </w:tr>
      <w:tr w:rsidR="00333849" w:rsidRPr="00333849" w14:paraId="58EEEAB4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FA34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A584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HAZİRAN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AAA1C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10.414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CE516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20.155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BD72EE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28.879</w:t>
            </w:r>
          </w:p>
        </w:tc>
      </w:tr>
      <w:tr w:rsidR="00333849" w:rsidRPr="00333849" w14:paraId="12E3D65B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D7D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A595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TEMMUZ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C0160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7.572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D74D9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14.654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B892C8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20.997</w:t>
            </w:r>
          </w:p>
        </w:tc>
      </w:tr>
      <w:tr w:rsidR="00333849" w:rsidRPr="00333849" w14:paraId="7C9033FB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3106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848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AĞUSTOS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F1174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7.441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D6F1F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14.401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CCEC41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20.634</w:t>
            </w:r>
          </w:p>
        </w:tc>
      </w:tr>
      <w:tr w:rsidR="00333849" w:rsidRPr="00333849" w14:paraId="0433DC72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71121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FD06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EYLÜL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9FA772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7.576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E79934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14.664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ED4319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21.010</w:t>
            </w:r>
          </w:p>
        </w:tc>
      </w:tr>
      <w:tr w:rsidR="00333849" w:rsidRPr="00333849" w14:paraId="7C60EE00" w14:textId="77777777" w:rsidTr="003836FD">
        <w:trPr>
          <w:trHeight w:val="31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CA408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D9D9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EKİM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A3D67D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28.197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8666E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54.573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E6EE3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color w:val="000000"/>
                <w:lang w:val="en-US" w:eastAsia="tr-TR"/>
              </w:rPr>
              <w:t>78.193</w:t>
            </w:r>
          </w:p>
        </w:tc>
      </w:tr>
      <w:tr w:rsidR="00333849" w:rsidRPr="00333849" w14:paraId="61BE5028" w14:textId="77777777" w:rsidTr="00333849">
        <w:trPr>
          <w:trHeight w:val="596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D9779A7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722B4B1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  <w:t>TOPLAM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7AA68A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  <w:t>659.148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53FDD5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  <w:t>1.504.000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3DBE67" w14:textId="77777777" w:rsidR="00333849" w:rsidRPr="00333849" w:rsidRDefault="00333849" w:rsidP="00333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</w:pPr>
            <w:r w:rsidRPr="00333849">
              <w:rPr>
                <w:rFonts w:ascii="Calibri" w:eastAsia="Times New Roman" w:hAnsi="Calibri" w:cs="Calibri"/>
                <w:b/>
                <w:bCs/>
                <w:color w:val="000000"/>
                <w:lang w:val="en-US" w:eastAsia="tr-TR"/>
              </w:rPr>
              <w:t>2.154.964</w:t>
            </w:r>
          </w:p>
        </w:tc>
      </w:tr>
    </w:tbl>
    <w:p w14:paraId="07BB9B5B" w14:textId="74EBE1E2" w:rsidR="00566295" w:rsidRDefault="0056629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8459DDB" w14:textId="41C58CB0" w:rsidR="00333849" w:rsidRDefault="0033384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CB987B9" w14:textId="77777777" w:rsidR="00333849" w:rsidRDefault="0033384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>
        <w:rPr>
          <w:rFonts w:ascii="Cambria" w:eastAsia="Times New Roman" w:hAnsi="Cambria" w:cstheme="minorHAnsi"/>
          <w:color w:val="000000"/>
          <w:lang w:eastAsia="tr-TR"/>
        </w:rPr>
        <w:tab/>
      </w:r>
    </w:p>
    <w:tbl>
      <w:tblPr>
        <w:tblpPr w:leftFromText="141" w:rightFromText="141" w:vertAnchor="text" w:horzAnchor="page" w:tblpX="2077" w:tblpY="139"/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</w:tblGrid>
      <w:tr w:rsidR="00333849" w:rsidRPr="00333849" w14:paraId="22603DF1" w14:textId="77777777" w:rsidTr="003836FD">
        <w:trPr>
          <w:trHeight w:val="45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8A684" w14:textId="77777777" w:rsidR="00333849" w:rsidRPr="00333849" w:rsidRDefault="00333849" w:rsidP="00333849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</w:rPr>
            </w:pPr>
            <w:r w:rsidRPr="00333849">
              <w:rPr>
                <w:rFonts w:ascii="Cambria" w:eastAsia="Calibri" w:hAnsi="Cambria" w:cs="Calibri"/>
                <w:color w:val="000000"/>
              </w:rPr>
              <w:t>SÖZLEŞME TOPLAMI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F38D56A" w14:textId="77777777" w:rsidR="00333849" w:rsidRPr="00333849" w:rsidRDefault="00333849" w:rsidP="00333849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color w:val="000000"/>
              </w:rPr>
            </w:pPr>
            <w:r w:rsidRPr="00333849">
              <w:rPr>
                <w:rFonts w:ascii="Cambria" w:eastAsia="Calibri" w:hAnsi="Cambria" w:cs="Calibri"/>
                <w:b/>
                <w:color w:val="000000"/>
              </w:rPr>
              <w:t>4.318.112</w:t>
            </w:r>
          </w:p>
        </w:tc>
      </w:tr>
    </w:tbl>
    <w:p w14:paraId="52B30345" w14:textId="645F7287" w:rsidR="00333849" w:rsidRDefault="0033384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D523061" w14:textId="3516DAB9" w:rsidR="00FC7A71" w:rsidRDefault="00FC7A7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64E9885" w14:textId="77777777" w:rsidR="00930AAC" w:rsidRDefault="00930AAC" w:rsidP="006F4C87">
      <w:pPr>
        <w:pStyle w:val="Default"/>
        <w:jc w:val="both"/>
        <w:rPr>
          <w:rFonts w:eastAsia="Times New Roman" w:cstheme="minorHAnsi"/>
          <w:sz w:val="22"/>
          <w:szCs w:val="22"/>
          <w:lang w:eastAsia="tr-TR"/>
        </w:rPr>
      </w:pPr>
    </w:p>
    <w:p w14:paraId="1705DFC8" w14:textId="77777777" w:rsidR="00930AAC" w:rsidRDefault="00930AAC" w:rsidP="006F4C87">
      <w:pPr>
        <w:pStyle w:val="Default"/>
        <w:jc w:val="both"/>
        <w:rPr>
          <w:rFonts w:eastAsia="Times New Roman" w:cstheme="minorHAnsi"/>
          <w:sz w:val="22"/>
          <w:szCs w:val="22"/>
          <w:lang w:eastAsia="tr-TR"/>
        </w:rPr>
      </w:pPr>
    </w:p>
    <w:p w14:paraId="7FDAC01B" w14:textId="484976E7" w:rsidR="00982873" w:rsidRPr="00BB0ADA" w:rsidRDefault="00BE484E" w:rsidP="00202113">
      <w:pPr>
        <w:pStyle w:val="Default"/>
        <w:ind w:firstLine="708"/>
        <w:jc w:val="both"/>
      </w:pPr>
      <w:r w:rsidRPr="008F520D">
        <w:rPr>
          <w:rFonts w:asciiTheme="minorHAnsi" w:hAnsiTheme="minorHAnsi" w:cstheme="minorHAnsi"/>
        </w:rPr>
        <w:t xml:space="preserve">Satın alınacak CNG miktarı toplam </w:t>
      </w:r>
      <w:r w:rsidR="00333849">
        <w:rPr>
          <w:rFonts w:asciiTheme="minorHAnsi" w:hAnsiTheme="minorHAnsi" w:cstheme="minorHAnsi"/>
          <w:b/>
          <w:bCs/>
        </w:rPr>
        <w:t>4.318.112</w:t>
      </w:r>
      <w:r w:rsidR="00A25375">
        <w:rPr>
          <w:rFonts w:asciiTheme="minorHAnsi" w:hAnsiTheme="minorHAnsi" w:cstheme="minorHAnsi"/>
          <w:b/>
          <w:bCs/>
        </w:rPr>
        <w:t xml:space="preserve"> </w:t>
      </w:r>
      <w:r w:rsidRPr="008F520D">
        <w:rPr>
          <w:rFonts w:asciiTheme="minorHAnsi" w:hAnsiTheme="minorHAnsi" w:cstheme="minorHAnsi"/>
          <w:b/>
        </w:rPr>
        <w:t>Sm3</w:t>
      </w:r>
      <w:r w:rsidR="006F4C87">
        <w:rPr>
          <w:rFonts w:asciiTheme="minorHAnsi" w:hAnsiTheme="minorHAnsi" w:cstheme="minorHAnsi"/>
        </w:rPr>
        <w:t xml:space="preserve"> olacaktır.</w:t>
      </w:r>
    </w:p>
    <w:sectPr w:rsidR="00982873" w:rsidRPr="00B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653B" w14:textId="77777777" w:rsidR="005576B4" w:rsidRDefault="005576B4" w:rsidP="00FC7A71">
      <w:pPr>
        <w:spacing w:after="0" w:line="240" w:lineRule="auto"/>
      </w:pPr>
      <w:r>
        <w:separator/>
      </w:r>
    </w:p>
  </w:endnote>
  <w:endnote w:type="continuationSeparator" w:id="0">
    <w:p w14:paraId="3009FCC3" w14:textId="77777777" w:rsidR="005576B4" w:rsidRDefault="005576B4" w:rsidP="00FC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A0EC4" w14:textId="77777777" w:rsidR="005576B4" w:rsidRDefault="005576B4" w:rsidP="00FC7A71">
      <w:pPr>
        <w:spacing w:after="0" w:line="240" w:lineRule="auto"/>
      </w:pPr>
      <w:r>
        <w:separator/>
      </w:r>
    </w:p>
  </w:footnote>
  <w:footnote w:type="continuationSeparator" w:id="0">
    <w:p w14:paraId="2935CF66" w14:textId="77777777" w:rsidR="005576B4" w:rsidRDefault="005576B4" w:rsidP="00FC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3D0"/>
    <w:multiLevelType w:val="hybridMultilevel"/>
    <w:tmpl w:val="7604F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105"/>
    <w:multiLevelType w:val="hybridMultilevel"/>
    <w:tmpl w:val="B0FC2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F9"/>
    <w:multiLevelType w:val="hybridMultilevel"/>
    <w:tmpl w:val="16B2F73C"/>
    <w:lvl w:ilvl="0" w:tplc="E0EEC4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82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973F1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17"/>
    <w:multiLevelType w:val="hybridMultilevel"/>
    <w:tmpl w:val="6A62A2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70AC"/>
    <w:multiLevelType w:val="hybridMultilevel"/>
    <w:tmpl w:val="53AA3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5"/>
    <w:rsid w:val="00011469"/>
    <w:rsid w:val="00025B8B"/>
    <w:rsid w:val="00061301"/>
    <w:rsid w:val="000679F5"/>
    <w:rsid w:val="00071923"/>
    <w:rsid w:val="000C0E41"/>
    <w:rsid w:val="000C5744"/>
    <w:rsid w:val="000E2159"/>
    <w:rsid w:val="00101D32"/>
    <w:rsid w:val="00147AC6"/>
    <w:rsid w:val="001D4D6F"/>
    <w:rsid w:val="001D6A23"/>
    <w:rsid w:val="001E52D9"/>
    <w:rsid w:val="001F552F"/>
    <w:rsid w:val="00202113"/>
    <w:rsid w:val="00205FF1"/>
    <w:rsid w:val="00213253"/>
    <w:rsid w:val="0021342A"/>
    <w:rsid w:val="0023597F"/>
    <w:rsid w:val="002743BF"/>
    <w:rsid w:val="00293FB6"/>
    <w:rsid w:val="00295189"/>
    <w:rsid w:val="002B7FA2"/>
    <w:rsid w:val="002C23DA"/>
    <w:rsid w:val="0031224E"/>
    <w:rsid w:val="00313E3F"/>
    <w:rsid w:val="00333849"/>
    <w:rsid w:val="0034586E"/>
    <w:rsid w:val="00380480"/>
    <w:rsid w:val="003C0CAB"/>
    <w:rsid w:val="003C1029"/>
    <w:rsid w:val="003E2653"/>
    <w:rsid w:val="003F42FC"/>
    <w:rsid w:val="00467B39"/>
    <w:rsid w:val="004733EB"/>
    <w:rsid w:val="004A7CAD"/>
    <w:rsid w:val="004C25A2"/>
    <w:rsid w:val="004D72D1"/>
    <w:rsid w:val="004F5DEF"/>
    <w:rsid w:val="00546F2F"/>
    <w:rsid w:val="00550630"/>
    <w:rsid w:val="005576B4"/>
    <w:rsid w:val="00566295"/>
    <w:rsid w:val="00581873"/>
    <w:rsid w:val="005849BD"/>
    <w:rsid w:val="005C5981"/>
    <w:rsid w:val="005C7DC5"/>
    <w:rsid w:val="005D1549"/>
    <w:rsid w:val="006036C3"/>
    <w:rsid w:val="00610784"/>
    <w:rsid w:val="0063683C"/>
    <w:rsid w:val="00641F27"/>
    <w:rsid w:val="00645022"/>
    <w:rsid w:val="00670A1E"/>
    <w:rsid w:val="00680C88"/>
    <w:rsid w:val="006957CC"/>
    <w:rsid w:val="006A4F6F"/>
    <w:rsid w:val="006F4C87"/>
    <w:rsid w:val="00704FA4"/>
    <w:rsid w:val="0072009C"/>
    <w:rsid w:val="00721E9C"/>
    <w:rsid w:val="007270B6"/>
    <w:rsid w:val="007411AD"/>
    <w:rsid w:val="007535CD"/>
    <w:rsid w:val="00765079"/>
    <w:rsid w:val="00794176"/>
    <w:rsid w:val="0079670E"/>
    <w:rsid w:val="007A08D7"/>
    <w:rsid w:val="007B4323"/>
    <w:rsid w:val="007B7E15"/>
    <w:rsid w:val="007E0D4B"/>
    <w:rsid w:val="00852E0B"/>
    <w:rsid w:val="00866CA5"/>
    <w:rsid w:val="008C490A"/>
    <w:rsid w:val="008D7D05"/>
    <w:rsid w:val="008F1581"/>
    <w:rsid w:val="00923169"/>
    <w:rsid w:val="0092585F"/>
    <w:rsid w:val="00930AAC"/>
    <w:rsid w:val="009342C0"/>
    <w:rsid w:val="0093672B"/>
    <w:rsid w:val="009411FF"/>
    <w:rsid w:val="00950B84"/>
    <w:rsid w:val="00951C67"/>
    <w:rsid w:val="00982873"/>
    <w:rsid w:val="009B2D78"/>
    <w:rsid w:val="009D0AD9"/>
    <w:rsid w:val="009E436D"/>
    <w:rsid w:val="009E770D"/>
    <w:rsid w:val="00A25375"/>
    <w:rsid w:val="00A40A56"/>
    <w:rsid w:val="00A54658"/>
    <w:rsid w:val="00A72429"/>
    <w:rsid w:val="00A72DB2"/>
    <w:rsid w:val="00A9199F"/>
    <w:rsid w:val="00AA02EA"/>
    <w:rsid w:val="00AC1148"/>
    <w:rsid w:val="00AC7C71"/>
    <w:rsid w:val="00AE60F4"/>
    <w:rsid w:val="00B04E68"/>
    <w:rsid w:val="00B13A7B"/>
    <w:rsid w:val="00B23F59"/>
    <w:rsid w:val="00B43AF3"/>
    <w:rsid w:val="00B559AE"/>
    <w:rsid w:val="00B61C15"/>
    <w:rsid w:val="00B80A4A"/>
    <w:rsid w:val="00B8612F"/>
    <w:rsid w:val="00B924AC"/>
    <w:rsid w:val="00B92A23"/>
    <w:rsid w:val="00BB0ADA"/>
    <w:rsid w:val="00BD342A"/>
    <w:rsid w:val="00BD4913"/>
    <w:rsid w:val="00BE484E"/>
    <w:rsid w:val="00BF5391"/>
    <w:rsid w:val="00BF6719"/>
    <w:rsid w:val="00C04249"/>
    <w:rsid w:val="00C10C35"/>
    <w:rsid w:val="00C2016B"/>
    <w:rsid w:val="00C43081"/>
    <w:rsid w:val="00C708F9"/>
    <w:rsid w:val="00C7319A"/>
    <w:rsid w:val="00C9395E"/>
    <w:rsid w:val="00CA5E3C"/>
    <w:rsid w:val="00CC6DCB"/>
    <w:rsid w:val="00CD3D53"/>
    <w:rsid w:val="00CE60C4"/>
    <w:rsid w:val="00D26714"/>
    <w:rsid w:val="00D47ED0"/>
    <w:rsid w:val="00D62A59"/>
    <w:rsid w:val="00D86A21"/>
    <w:rsid w:val="00DE0341"/>
    <w:rsid w:val="00E075CE"/>
    <w:rsid w:val="00E55953"/>
    <w:rsid w:val="00E63F9A"/>
    <w:rsid w:val="00E82F69"/>
    <w:rsid w:val="00E96EF7"/>
    <w:rsid w:val="00EB4E55"/>
    <w:rsid w:val="00EE0C1D"/>
    <w:rsid w:val="00EF0544"/>
    <w:rsid w:val="00EF1677"/>
    <w:rsid w:val="00F60C93"/>
    <w:rsid w:val="00F6508E"/>
    <w:rsid w:val="00F74592"/>
    <w:rsid w:val="00F7675A"/>
    <w:rsid w:val="00F774BA"/>
    <w:rsid w:val="00FB2371"/>
    <w:rsid w:val="00FB7E18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EB"/>
  <w15:chartTrackingRefBased/>
  <w15:docId w15:val="{F8A531DC-462F-41B3-AD12-9B6C718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B4E55"/>
  </w:style>
  <w:style w:type="character" w:customStyle="1" w:styleId="spelle">
    <w:name w:val="spelle"/>
    <w:basedOn w:val="VarsaylanParagrafYazTipi"/>
    <w:rsid w:val="00EB4E55"/>
  </w:style>
  <w:style w:type="paragraph" w:styleId="AralkYok">
    <w:name w:val="No Spacing"/>
    <w:uiPriority w:val="1"/>
    <w:qFormat/>
    <w:rsid w:val="00EB4E55"/>
    <w:pPr>
      <w:spacing w:after="0" w:line="240" w:lineRule="auto"/>
    </w:pPr>
    <w:rPr>
      <w:rFonts w:ascii="Tahoma" w:eastAsia="Times New Roman" w:hAnsi="Tahoma" w:cs="Times New Roman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43AF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E0D4B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7E0D4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B7E18"/>
    <w:rPr>
      <w:color w:val="954F72" w:themeColor="followedHyperlink"/>
      <w:u w:val="single"/>
    </w:rPr>
  </w:style>
  <w:style w:type="table" w:styleId="KlavuzTablo1Ak">
    <w:name w:val="Grid Table 1 Light"/>
    <w:basedOn w:val="NormalTablo"/>
    <w:uiPriority w:val="46"/>
    <w:rsid w:val="00E075C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C6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D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D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D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D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D32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9E770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770D"/>
    <w:rPr>
      <w:rFonts w:ascii="Calibri" w:hAnsi="Calibri"/>
      <w:szCs w:val="21"/>
    </w:rPr>
  </w:style>
  <w:style w:type="paragraph" w:customStyle="1" w:styleId="Default">
    <w:name w:val="Default"/>
    <w:rsid w:val="00BE48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A71"/>
  </w:style>
  <w:style w:type="paragraph" w:styleId="AltBilgi">
    <w:name w:val="footer"/>
    <w:basedOn w:val="Normal"/>
    <w:link w:val="Al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ya.konya@hs02.kep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ya.com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ery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y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9C33-38C7-4F45-A473-7162A017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Özer</dc:creator>
  <cp:keywords/>
  <dc:description/>
  <cp:lastModifiedBy>Erol Kaya</cp:lastModifiedBy>
  <cp:revision>16</cp:revision>
  <cp:lastPrinted>2019-12-10T11:21:00Z</cp:lastPrinted>
  <dcterms:created xsi:type="dcterms:W3CDTF">2024-10-23T07:06:00Z</dcterms:created>
  <dcterms:modified xsi:type="dcterms:W3CDTF">2025-10-23T13:55:00Z</dcterms:modified>
</cp:coreProperties>
</file>