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31953C3D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A2149D">
        <w:rPr>
          <w:rFonts w:ascii="Cambria" w:eastAsia="Times New Roman" w:hAnsi="Cambria" w:cstheme="minorHAnsi"/>
          <w:b/>
          <w:bCs/>
          <w:lang w:eastAsia="tr-TR"/>
        </w:rPr>
        <w:t>ANTALYA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04E449A3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C475D7">
        <w:rPr>
          <w:rFonts w:ascii="Cambria" w:eastAsia="Times New Roman" w:hAnsi="Cambria" w:cstheme="minorHAnsi"/>
          <w:color w:val="000000"/>
          <w:lang w:eastAsia="tr-TR"/>
        </w:rPr>
        <w:t>Kasım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A5521C">
        <w:rPr>
          <w:rFonts w:ascii="Cambria" w:eastAsia="Times New Roman" w:hAnsi="Cambria" w:cstheme="minorHAnsi"/>
          <w:color w:val="000000"/>
          <w:lang w:eastAsia="tr-TR"/>
        </w:rPr>
        <w:t>5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C475D7">
        <w:rPr>
          <w:rFonts w:ascii="Cambria" w:eastAsia="Times New Roman" w:hAnsi="Cambria" w:cstheme="minorHAnsi"/>
          <w:color w:val="000000"/>
          <w:lang w:eastAsia="tr-TR"/>
        </w:rPr>
        <w:t>Ekim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202</w:t>
      </w:r>
      <w:r w:rsidR="00A5521C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7110-</w:t>
      </w:r>
      <w:proofErr w:type="gramStart"/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7 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proofErr w:type="gramEnd"/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457F8BC0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</w:t>
      </w:r>
      <w:proofErr w:type="spellStart"/>
      <w:r w:rsidRPr="00B92A23">
        <w:rPr>
          <w:rFonts w:ascii="Cambria" w:hAnsi="Cambria" w:cstheme="minorHAnsi"/>
          <w:color w:val="000000"/>
          <w:sz w:val="22"/>
          <w:szCs w:val="22"/>
        </w:rPr>
        <w:t>ünvanı</w:t>
      </w:r>
      <w:proofErr w:type="spellEnd"/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: ENERYA </w:t>
      </w:r>
      <w:r w:rsidR="00E207AF">
        <w:rPr>
          <w:rFonts w:ascii="Cambria" w:hAnsi="Cambria" w:cstheme="minorHAnsi"/>
          <w:color w:val="000000"/>
          <w:sz w:val="22"/>
          <w:szCs w:val="22"/>
        </w:rPr>
        <w:t>ANTALYA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İçerenköy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 xml:space="preserve">, </w:t>
      </w: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Yeşilvadi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 xml:space="preserve"> Sokak, No: 3, Kat:4, </w:t>
      </w: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Ataşehir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>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7FBF501B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Tel :444 8 429</w:t>
      </w:r>
    </w:p>
    <w:p w14:paraId="5BD2D3FD" w14:textId="07ED32D2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spellStart"/>
      <w:r w:rsidRPr="00B92A23">
        <w:rPr>
          <w:rFonts w:ascii="Cambria" w:hAnsi="Cambria" w:cstheme="minorHAnsi"/>
          <w:color w:val="000000"/>
          <w:sz w:val="22"/>
          <w:szCs w:val="22"/>
        </w:rPr>
        <w:t>Fax</w:t>
      </w:r>
      <w:proofErr w:type="spellEnd"/>
      <w:r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</w:t>
      </w:r>
      <w:r w:rsidR="00E207AF">
        <w:rPr>
          <w:rFonts w:ascii="Cambria" w:hAnsi="Cambria" w:cstheme="minorHAnsi"/>
          <w:color w:val="000000"/>
          <w:sz w:val="22"/>
          <w:szCs w:val="22"/>
        </w:rPr>
        <w:t>242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 xml:space="preserve">) </w:t>
      </w:r>
      <w:r w:rsidR="00E207AF">
        <w:rPr>
          <w:rFonts w:ascii="Cambria" w:hAnsi="Cambria" w:cstheme="minorHAnsi"/>
          <w:color w:val="000000"/>
          <w:sz w:val="22"/>
          <w:szCs w:val="22"/>
        </w:rPr>
        <w:t>3171302</w:t>
      </w:r>
    </w:p>
    <w:p w14:paraId="26D7AE61" w14:textId="77777777" w:rsidR="00A5521C" w:rsidRPr="00A5521C" w:rsidRDefault="00313E3F" w:rsidP="00A5521C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6" w:history="1">
        <w:r w:rsidR="00E207AF" w:rsidRPr="008F0D7F">
          <w:rPr>
            <w:rStyle w:val="Kpr"/>
            <w:rFonts w:ascii="Cambria" w:hAnsi="Cambria" w:cstheme="minorHAnsi"/>
            <w:sz w:val="22"/>
            <w:szCs w:val="22"/>
          </w:rPr>
          <w:t>enerya.antalya@hs02.kep.tr</w:t>
        </w:r>
      </w:hyperlink>
      <w:r w:rsidR="007E0D4B" w:rsidRPr="00B92A23">
        <w:rPr>
          <w:rFonts w:ascii="Cambria" w:hAnsi="Cambria" w:cstheme="minorHAnsi"/>
          <w:color w:val="000000"/>
          <w:sz w:val="22"/>
          <w:szCs w:val="22"/>
        </w:rPr>
        <w:t xml:space="preserve">  </w:t>
      </w:r>
    </w:p>
    <w:p w14:paraId="29161B98" w14:textId="46A79A4F" w:rsidR="00A5521C" w:rsidRPr="001E52D9" w:rsidRDefault="00A5521C" w:rsidP="00A5521C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proofErr w:type="gramStart"/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>web</w:t>
      </w:r>
      <w:proofErr w:type="gramEnd"/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 xml:space="preserve"> adresi: </w:t>
      </w:r>
      <w:r w:rsidRPr="001E52D9">
        <w:rPr>
          <w:rFonts w:ascii="Cambria" w:hAnsi="Cambria" w:cstheme="minorHAnsi"/>
          <w:sz w:val="22"/>
          <w:szCs w:val="22"/>
        </w:rPr>
        <w:t xml:space="preserve">  </w:t>
      </w:r>
      <w:hyperlink r:id="rId7" w:history="1">
        <w:r w:rsidRPr="001E52D9">
          <w:rPr>
            <w:rStyle w:val="Kpr"/>
            <w:rFonts w:ascii="Cambria" w:hAnsi="Cambria" w:cstheme="minorHAnsi"/>
            <w:sz w:val="22"/>
            <w:szCs w:val="22"/>
          </w:rPr>
          <w:t>https://www.enerya.com.tr</w:t>
        </w:r>
      </w:hyperlink>
    </w:p>
    <w:p w14:paraId="33E1C69B" w14:textId="3B49855F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415BC7B6" w:rsidR="00C10C35" w:rsidRP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E207AF">
        <w:rPr>
          <w:rFonts w:ascii="Cambria" w:hAnsi="Cambria" w:cstheme="minorHAnsi"/>
          <w:color w:val="000000"/>
          <w:sz w:val="22"/>
          <w:szCs w:val="22"/>
        </w:rPr>
        <w:t>Antalya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28C25999" w14:textId="148671BB" w:rsidR="009E770D" w:rsidRPr="00D47ED0" w:rsidRDefault="00765079" w:rsidP="00D47ED0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B92A23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852E0B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E207AF">
        <w:rPr>
          <w:rFonts w:ascii="Cambria" w:hAnsi="Cambria" w:cstheme="minorHAnsi"/>
          <w:color w:val="000000"/>
          <w:sz w:val="22"/>
          <w:szCs w:val="22"/>
        </w:rPr>
        <w:tab/>
      </w:r>
      <w:r w:rsidR="00546F54">
        <w:rPr>
          <w:rFonts w:ascii="Cambria" w:hAnsi="Cambria" w:cstheme="minorHAnsi"/>
          <w:color w:val="000000"/>
          <w:sz w:val="22"/>
          <w:szCs w:val="22"/>
        </w:rPr>
        <w:t xml:space="preserve">Merkez / </w:t>
      </w:r>
      <w:r w:rsidR="00E207AF">
        <w:rPr>
          <w:rFonts w:ascii="Cambria" w:hAnsi="Cambria" w:cstheme="minorHAnsi"/>
          <w:color w:val="000000"/>
          <w:sz w:val="22"/>
          <w:szCs w:val="22"/>
        </w:rPr>
        <w:t>Elmalı / ANTALYA</w:t>
      </w:r>
    </w:p>
    <w:p w14:paraId="0EBAF85B" w14:textId="2ED85D72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C475D7">
        <w:rPr>
          <w:rFonts w:ascii="Cambria" w:hAnsi="Cambria" w:cstheme="minorHAnsi"/>
          <w:color w:val="000000"/>
          <w:sz w:val="22"/>
          <w:szCs w:val="22"/>
        </w:rPr>
        <w:t>Kasım</w:t>
      </w:r>
      <w:r w:rsidR="00C708F9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9E770D" w:rsidRPr="00691CE3">
        <w:rPr>
          <w:rFonts w:ascii="Cambria" w:hAnsi="Cambria" w:cstheme="minorHAnsi"/>
          <w:color w:val="000000" w:themeColor="text1"/>
          <w:sz w:val="22"/>
          <w:szCs w:val="22"/>
        </w:rPr>
        <w:t>20</w:t>
      </w:r>
      <w:r w:rsidR="009342C0">
        <w:rPr>
          <w:rFonts w:ascii="Cambria" w:hAnsi="Cambria" w:cstheme="minorHAnsi"/>
          <w:color w:val="000000" w:themeColor="text1"/>
          <w:sz w:val="22"/>
          <w:szCs w:val="22"/>
        </w:rPr>
        <w:t>2</w:t>
      </w:r>
      <w:r w:rsidR="00A5521C">
        <w:rPr>
          <w:rFonts w:ascii="Cambria" w:hAnsi="Cambria" w:cstheme="minorHAnsi"/>
          <w:color w:val="000000" w:themeColor="text1"/>
          <w:sz w:val="22"/>
          <w:szCs w:val="22"/>
        </w:rPr>
        <w:t>5</w:t>
      </w:r>
      <w:r w:rsidR="005849BD">
        <w:rPr>
          <w:rFonts w:ascii="Cambria" w:hAnsi="Cambria" w:cstheme="minorHAnsi"/>
          <w:color w:val="000000" w:themeColor="text1"/>
          <w:sz w:val="22"/>
          <w:szCs w:val="22"/>
        </w:rPr>
        <w:t>-</w:t>
      </w:r>
      <w:r w:rsidR="00C475D7">
        <w:rPr>
          <w:rFonts w:ascii="Cambria" w:hAnsi="Cambria" w:cstheme="minorHAnsi"/>
          <w:color w:val="000000" w:themeColor="text1"/>
          <w:sz w:val="22"/>
          <w:szCs w:val="22"/>
        </w:rPr>
        <w:t>Ekim</w:t>
      </w:r>
      <w:r w:rsidR="005849BD">
        <w:rPr>
          <w:rFonts w:ascii="Cambria" w:hAnsi="Cambria" w:cstheme="minorHAnsi"/>
          <w:color w:val="000000" w:themeColor="text1"/>
          <w:sz w:val="22"/>
          <w:szCs w:val="22"/>
        </w:rPr>
        <w:t xml:space="preserve"> 202</w:t>
      </w:r>
      <w:r w:rsidR="00A5521C">
        <w:rPr>
          <w:rFonts w:ascii="Cambria" w:hAnsi="Cambria" w:cstheme="minorHAnsi"/>
          <w:color w:val="000000" w:themeColor="text1"/>
          <w:sz w:val="22"/>
          <w:szCs w:val="22"/>
        </w:rPr>
        <w:t>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</w:p>
    <w:p w14:paraId="2B2068C3" w14:textId="0AAAA791" w:rsidR="00923169" w:rsidRPr="00B92A23" w:rsidRDefault="00071923" w:rsidP="005C7DC5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Pr="00B92A23">
        <w:rPr>
          <w:rFonts w:ascii="Cambria" w:hAnsi="Cambria" w:cstheme="minorHAnsi"/>
          <w:color w:val="000000"/>
        </w:rPr>
        <w:tab/>
      </w:r>
      <w:r w:rsidRPr="00B92A23">
        <w:rPr>
          <w:rFonts w:ascii="Cambria" w:hAnsi="Cambria" w:cstheme="minorHAnsi"/>
          <w:color w:val="000000"/>
        </w:rPr>
        <w:tab/>
        <w:t xml:space="preserve">: Enerya </w:t>
      </w:r>
      <w:r w:rsidR="00E207AF">
        <w:rPr>
          <w:rFonts w:ascii="Cambria" w:hAnsi="Cambria" w:cstheme="minorHAnsi"/>
          <w:color w:val="000000"/>
        </w:rPr>
        <w:t>Antalya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proofErr w:type="spellStart"/>
      <w:r w:rsidR="00E55953" w:rsidRPr="00B92A23">
        <w:rPr>
          <w:rFonts w:ascii="Cambria" w:hAnsi="Cambria" w:cstheme="minorHAnsi"/>
          <w:color w:val="000000"/>
        </w:rPr>
        <w:t>İçerenköy</w:t>
      </w:r>
      <w:proofErr w:type="spellEnd"/>
      <w:r w:rsidR="00AA02EA">
        <w:rPr>
          <w:rFonts w:ascii="Cambria" w:hAnsi="Cambria" w:cstheme="minorHAnsi"/>
          <w:color w:val="000000"/>
        </w:rPr>
        <w:t xml:space="preserve"> </w:t>
      </w:r>
      <w:proofErr w:type="spellStart"/>
      <w:r w:rsidR="00AA02EA">
        <w:rPr>
          <w:rFonts w:ascii="Cambria" w:hAnsi="Cambria" w:cstheme="minorHAnsi"/>
          <w:color w:val="000000"/>
        </w:rPr>
        <w:t>Yeşilvadi</w:t>
      </w:r>
      <w:proofErr w:type="spellEnd"/>
      <w:r w:rsidR="00AA02EA">
        <w:rPr>
          <w:rFonts w:ascii="Cambria" w:hAnsi="Cambria" w:cstheme="minorHAnsi"/>
          <w:color w:val="000000"/>
        </w:rPr>
        <w:t xml:space="preserve"> Sokak No:3/4</w:t>
      </w:r>
      <w:r w:rsidRPr="00B92A23">
        <w:rPr>
          <w:rFonts w:ascii="Cambria" w:hAnsi="Cambria" w:cstheme="minorHAnsi"/>
          <w:color w:val="000000"/>
        </w:rPr>
        <w:t xml:space="preserve"> </w:t>
      </w:r>
    </w:p>
    <w:p w14:paraId="155FDDC1" w14:textId="77777777" w:rsidR="00FB7E18" w:rsidRPr="00B92A23" w:rsidRDefault="00923169" w:rsidP="00BB0ADA">
      <w:pPr>
        <w:snapToGrid w:val="0"/>
        <w:spacing w:after="0" w:line="240" w:lineRule="auto"/>
        <w:ind w:left="2124" w:right="-567" w:firstLine="708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  </w:t>
      </w:r>
      <w:proofErr w:type="spellStart"/>
      <w:r w:rsidR="00071923" w:rsidRPr="00B92A23">
        <w:rPr>
          <w:rFonts w:ascii="Cambria" w:hAnsi="Cambria" w:cstheme="minorHAnsi"/>
          <w:color w:val="000000"/>
        </w:rPr>
        <w:t>Ataşehir</w:t>
      </w:r>
      <w:proofErr w:type="spellEnd"/>
      <w:r w:rsidR="00071923" w:rsidRPr="00B92A23">
        <w:rPr>
          <w:rFonts w:ascii="Cambria" w:hAnsi="Cambria" w:cstheme="minorHAnsi"/>
          <w:color w:val="000000"/>
        </w:rPr>
        <w:t xml:space="preserve"> /İ</w:t>
      </w:r>
      <w:r w:rsidR="00FB7E18" w:rsidRPr="00B92A23">
        <w:rPr>
          <w:rFonts w:ascii="Cambria" w:hAnsi="Cambria" w:cstheme="minorHAnsi"/>
          <w:color w:val="000000"/>
        </w:rPr>
        <w:t xml:space="preserve">stanbul adresi </w:t>
      </w:r>
    </w:p>
    <w:p w14:paraId="5B8ED870" w14:textId="46F72C15" w:rsidR="00A5521C" w:rsidRPr="00A5521C" w:rsidRDefault="00147AC6" w:rsidP="00A5521C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641F27">
        <w:rPr>
          <w:rFonts w:ascii="Cambria" w:hAnsi="Cambria" w:cstheme="minorHAnsi"/>
          <w:color w:val="000000"/>
        </w:rPr>
        <w:t>b)</w:t>
      </w:r>
      <w:r w:rsidR="00A5521C" w:rsidRPr="00A5521C">
        <w:rPr>
          <w:rFonts w:ascii="Cambria" w:hAnsi="Cambria" w:cstheme="minorHAnsi"/>
          <w:color w:val="000000"/>
        </w:rPr>
        <w:t xml:space="preserve"> İhale ve Dosya Son Teslim Tarihi v</w:t>
      </w:r>
      <w:r w:rsidR="00C475D7">
        <w:rPr>
          <w:rFonts w:ascii="Cambria" w:hAnsi="Cambria" w:cstheme="minorHAnsi"/>
          <w:color w:val="000000"/>
        </w:rPr>
        <w:t>e saati</w:t>
      </w:r>
      <w:r w:rsidR="00C475D7">
        <w:rPr>
          <w:rFonts w:ascii="Cambria" w:hAnsi="Cambria" w:cstheme="minorHAnsi"/>
          <w:color w:val="000000"/>
        </w:rPr>
        <w:tab/>
      </w:r>
      <w:r w:rsidR="00C475D7">
        <w:rPr>
          <w:rFonts w:ascii="Cambria" w:hAnsi="Cambria" w:cstheme="minorHAnsi"/>
          <w:color w:val="000000"/>
        </w:rPr>
        <w:tab/>
        <w:t>: 03.11</w:t>
      </w:r>
      <w:r w:rsidR="005C5E03">
        <w:rPr>
          <w:rFonts w:ascii="Cambria" w:hAnsi="Cambria" w:cstheme="minorHAnsi"/>
          <w:color w:val="000000"/>
        </w:rPr>
        <w:t>.2025 – Saat: 11</w:t>
      </w:r>
      <w:r w:rsidR="00A5521C" w:rsidRPr="00A5521C">
        <w:rPr>
          <w:rFonts w:ascii="Cambria" w:hAnsi="Cambria" w:cstheme="minorHAnsi"/>
          <w:color w:val="000000"/>
        </w:rPr>
        <w:t>:00</w:t>
      </w:r>
    </w:p>
    <w:p w14:paraId="1B5BE729" w14:textId="3E12352D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kriterleri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ve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2DA4226C" w:rsidR="00FB7E18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B459A5">
        <w:rPr>
          <w:rFonts w:ascii="Cambria" w:hAnsi="Cambria" w:cstheme="minorHAnsi"/>
          <w:color w:val="000000"/>
        </w:rPr>
        <w:t>Antalya</w:t>
      </w:r>
      <w:r w:rsidR="00FB7E18" w:rsidRPr="00B92A23">
        <w:rPr>
          <w:rFonts w:ascii="Cambria" w:hAnsi="Cambria" w:cstheme="minorHAnsi"/>
          <w:color w:val="000000"/>
        </w:rPr>
        <w:t xml:space="preserve"> Gaz Dağıtım A.Ş</w:t>
      </w:r>
      <w:proofErr w:type="gramStart"/>
      <w:r w:rsidR="00FB7E18" w:rsidRPr="00B92A23">
        <w:rPr>
          <w:rFonts w:ascii="Cambria" w:hAnsi="Cambria" w:cstheme="minorHAnsi"/>
          <w:color w:val="000000"/>
        </w:rPr>
        <w:t>.</w:t>
      </w:r>
      <w:r w:rsidR="006957CC">
        <w:rPr>
          <w:rFonts w:ascii="Cambria" w:hAnsi="Cambria" w:cstheme="minorHAnsi"/>
          <w:color w:val="000000"/>
        </w:rPr>
        <w:t>,</w:t>
      </w:r>
      <w:proofErr w:type="gramEnd"/>
      <w:r w:rsidR="00FB7E18" w:rsidRPr="00B92A23">
        <w:rPr>
          <w:rFonts w:ascii="Cambria" w:hAnsi="Cambria" w:cstheme="minorHAnsi"/>
          <w:color w:val="000000"/>
        </w:rPr>
        <w:t xml:space="preserve"> </w:t>
      </w:r>
      <w:proofErr w:type="spellStart"/>
      <w:r w:rsidR="00E55953" w:rsidRPr="00B92A23">
        <w:rPr>
          <w:rFonts w:ascii="Cambria" w:hAnsi="Cambria" w:cstheme="minorHAnsi"/>
          <w:color w:val="000000"/>
        </w:rPr>
        <w:t>İçerenköy</w:t>
      </w:r>
      <w:proofErr w:type="spellEnd"/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proofErr w:type="spellStart"/>
      <w:r w:rsidR="00FB7E18" w:rsidRPr="00B92A23">
        <w:rPr>
          <w:rFonts w:ascii="Cambria" w:hAnsi="Cambria" w:cstheme="minorHAnsi"/>
          <w:color w:val="000000"/>
        </w:rPr>
        <w:t>Yeşilvadi</w:t>
      </w:r>
      <w:proofErr w:type="spellEnd"/>
      <w:r w:rsidR="00FB7E18" w:rsidRPr="00B92A23">
        <w:rPr>
          <w:rFonts w:ascii="Cambria" w:hAnsi="Cambria" w:cstheme="minorHAnsi"/>
          <w:color w:val="000000"/>
        </w:rPr>
        <w:t xml:space="preserve">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proofErr w:type="spellStart"/>
      <w:r w:rsidR="00FB7E18" w:rsidRPr="00B92A23">
        <w:rPr>
          <w:rFonts w:ascii="Cambria" w:hAnsi="Cambria" w:cstheme="minorHAnsi"/>
          <w:color w:val="000000"/>
        </w:rPr>
        <w:t>Ataşehir</w:t>
      </w:r>
      <w:proofErr w:type="spellEnd"/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8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0CC95EE2" w14:textId="77777777" w:rsidR="00A5521C" w:rsidRPr="00B92A23" w:rsidRDefault="00A5521C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</w:p>
    <w:p w14:paraId="268797F8" w14:textId="16CDD7E8" w:rsidR="00EB4E55" w:rsidRPr="00B92A23" w:rsidRDefault="00A5521C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A5521C">
        <w:rPr>
          <w:rFonts w:ascii="Cambria" w:eastAsia="Times New Roman" w:hAnsi="Cambria" w:cstheme="minorHAnsi"/>
          <w:color w:val="000000"/>
          <w:lang w:eastAsia="tr-TR"/>
        </w:rPr>
        <w:t xml:space="preserve">7 – İhaleye; Enerji Piyasası Düzenleme Kurumun (EPDK)'dan alınmış ve yürürlükte olmak şartı ile CNG faaliyetleri için gerekli lisanların ikisine de (1-CNG Satış Lisansı, 2- CNG İletim ve Dağıtım Lisansı) </w:t>
      </w:r>
      <w:proofErr w:type="gramStart"/>
      <w:r w:rsidRPr="00A5521C">
        <w:rPr>
          <w:rFonts w:ascii="Cambria" w:eastAsia="Times New Roman" w:hAnsi="Cambria" w:cstheme="minorHAnsi"/>
          <w:color w:val="000000"/>
          <w:lang w:eastAsia="tr-TR"/>
        </w:rPr>
        <w:t>sahip   İSTEKLİLER</w:t>
      </w:r>
      <w:proofErr w:type="gramEnd"/>
      <w:r w:rsidRPr="00A5521C">
        <w:rPr>
          <w:rFonts w:ascii="Cambria" w:eastAsia="Times New Roman" w:hAnsi="Cambria" w:cstheme="minorHAnsi"/>
          <w:color w:val="000000"/>
          <w:lang w:eastAsia="tr-TR"/>
        </w:rPr>
        <w:t xml:space="preserve"> katılabileceklerdir.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proofErr w:type="spellEnd"/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Yeşilvadi</w:t>
      </w:r>
      <w:proofErr w:type="spellEnd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Ataşehir</w:t>
      </w:r>
      <w:proofErr w:type="spellEnd"/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9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31224E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2602A12D" w14:textId="752A1BF7" w:rsidR="00E075C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tbl>
      <w:tblPr>
        <w:tblpPr w:leftFromText="141" w:rightFromText="141" w:vertAnchor="page" w:horzAnchor="page" w:tblpX="3253" w:tblpY="5497"/>
        <w:tblW w:w="4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47"/>
        <w:gridCol w:w="1559"/>
      </w:tblGrid>
      <w:tr w:rsidR="00745688" w:rsidRPr="00745688" w14:paraId="6BA71D5F" w14:textId="77777777" w:rsidTr="00745688">
        <w:trPr>
          <w:trHeight w:val="75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DCBC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OLE_LINK1"/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YIL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D6B7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A4E9B8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TESLİM </w:t>
            </w:r>
            <w:proofErr w:type="gramStart"/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NOKTASI ;</w:t>
            </w:r>
            <w:proofErr w:type="gramEnd"/>
          </w:p>
        </w:tc>
      </w:tr>
      <w:tr w:rsidR="00745688" w:rsidRPr="00745688" w14:paraId="17C738EB" w14:textId="77777777" w:rsidTr="00745688">
        <w:trPr>
          <w:trHeight w:val="54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EA413" w14:textId="77777777" w:rsidR="00745688" w:rsidRPr="00745688" w:rsidRDefault="00745688" w:rsidP="00745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92960" w14:textId="77777777" w:rsidR="00745688" w:rsidRPr="00745688" w:rsidRDefault="00745688" w:rsidP="00745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4EB64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ELMALI</w:t>
            </w:r>
          </w:p>
        </w:tc>
      </w:tr>
      <w:tr w:rsidR="00745688" w:rsidRPr="00745688" w14:paraId="3EA51441" w14:textId="77777777" w:rsidTr="00745688">
        <w:trPr>
          <w:trHeight w:val="64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F3DD3" w14:textId="77777777" w:rsidR="00745688" w:rsidRPr="00745688" w:rsidRDefault="00745688" w:rsidP="00745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3B92C" w14:textId="77777777" w:rsidR="00745688" w:rsidRPr="00745688" w:rsidRDefault="00745688" w:rsidP="00745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38793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MİKTAR Sm3</w:t>
            </w:r>
          </w:p>
        </w:tc>
      </w:tr>
      <w:tr w:rsidR="00745688" w:rsidRPr="00745688" w14:paraId="706CFF74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C271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1" w:name="_GoBack"/>
            <w:bookmarkEnd w:id="1"/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5F4CC8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656F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389.690</w:t>
            </w:r>
          </w:p>
        </w:tc>
      </w:tr>
      <w:tr w:rsidR="00745688" w:rsidRPr="00745688" w14:paraId="62584B5F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104D3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672CA9F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29E7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525.456</w:t>
            </w:r>
          </w:p>
        </w:tc>
      </w:tr>
      <w:tr w:rsidR="00745688" w:rsidRPr="00745688" w14:paraId="1F49C959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06E26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9EA48F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EC6C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533.643</w:t>
            </w:r>
          </w:p>
        </w:tc>
      </w:tr>
      <w:tr w:rsidR="00745688" w:rsidRPr="00745688" w14:paraId="478E8BFC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1433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9E38F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C8AE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510.148</w:t>
            </w:r>
          </w:p>
        </w:tc>
      </w:tr>
      <w:tr w:rsidR="00745688" w:rsidRPr="00745688" w14:paraId="27CE6DAA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150B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3D2050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D6453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382.330</w:t>
            </w:r>
          </w:p>
        </w:tc>
      </w:tr>
      <w:tr w:rsidR="00745688" w:rsidRPr="00745688" w14:paraId="1D15DC11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DE5D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CC53D4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AEC7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197.829</w:t>
            </w:r>
          </w:p>
        </w:tc>
      </w:tr>
      <w:tr w:rsidR="00745688" w:rsidRPr="00745688" w14:paraId="19897592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82E7F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CB26D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D5D6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77.907</w:t>
            </w:r>
          </w:p>
        </w:tc>
      </w:tr>
      <w:tr w:rsidR="00745688" w:rsidRPr="00745688" w14:paraId="3CA096AA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1B36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0B0CB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5535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21.144</w:t>
            </w:r>
          </w:p>
        </w:tc>
      </w:tr>
      <w:tr w:rsidR="00745688" w:rsidRPr="00745688" w14:paraId="2C10BAA2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0CB60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4716FD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9BE27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16.391</w:t>
            </w:r>
          </w:p>
        </w:tc>
      </w:tr>
      <w:tr w:rsidR="00745688" w:rsidRPr="00745688" w14:paraId="6D40C83E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91E0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ECFA9E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5ABC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16.090</w:t>
            </w:r>
          </w:p>
        </w:tc>
      </w:tr>
      <w:tr w:rsidR="00745688" w:rsidRPr="00745688" w14:paraId="4014A2E7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EECBB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DCA5AB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C3B89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20.050</w:t>
            </w:r>
          </w:p>
        </w:tc>
      </w:tr>
      <w:tr w:rsidR="00C475D7" w:rsidRPr="00745688" w14:paraId="02876506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A6766" w14:textId="4EE272E9" w:rsidR="00C475D7" w:rsidRPr="00745688" w:rsidRDefault="00C475D7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7D7240" w14:textId="5769CDC6" w:rsidR="00C475D7" w:rsidRPr="00745688" w:rsidRDefault="00C475D7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4AB96" w14:textId="0292F78D" w:rsidR="00C475D7" w:rsidRPr="00745688" w:rsidRDefault="00C475D7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25.070</w:t>
            </w:r>
          </w:p>
        </w:tc>
      </w:tr>
      <w:tr w:rsidR="00745688" w:rsidRPr="00745688" w14:paraId="078312EB" w14:textId="77777777" w:rsidTr="00745688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2BA513B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2025-2026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0CB320D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3E4C1309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2.715.748</w:t>
            </w:r>
          </w:p>
        </w:tc>
      </w:tr>
      <w:tr w:rsidR="00745688" w:rsidRPr="00745688" w14:paraId="770D2021" w14:textId="77777777" w:rsidTr="00745688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8242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7035B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88AB0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  <w:tr w:rsidR="00745688" w:rsidRPr="00745688" w14:paraId="5299C92B" w14:textId="77777777" w:rsidTr="00745688">
        <w:trPr>
          <w:trHeight w:val="420"/>
        </w:trPr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699E9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GENEL TOPLAM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9B51B1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2.715.748</w:t>
            </w:r>
          </w:p>
        </w:tc>
      </w:tr>
      <w:tr w:rsidR="00745688" w:rsidRPr="00745688" w14:paraId="28A1AE89" w14:textId="77777777" w:rsidTr="0074568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569A" w14:textId="77777777" w:rsidR="00745688" w:rsidRPr="00745688" w:rsidRDefault="00745688" w:rsidP="00745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tr-T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45F0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C28F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5688" w:rsidRPr="00745688" w14:paraId="629D506F" w14:textId="77777777" w:rsidTr="00745688">
        <w:trPr>
          <w:trHeight w:val="420"/>
        </w:trPr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1754A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SÖZLEŞME TOPLAMI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ED8892" w14:textId="77777777" w:rsidR="00745688" w:rsidRPr="00745688" w:rsidRDefault="00745688" w:rsidP="0074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2.715.748</w:t>
            </w:r>
          </w:p>
        </w:tc>
      </w:tr>
      <w:bookmarkEnd w:id="0"/>
    </w:tbl>
    <w:p w14:paraId="6B7FC13F" w14:textId="77777777" w:rsidR="00AE60F4" w:rsidRPr="0031224E" w:rsidRDefault="00AE60F4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7FDAC01B" w14:textId="3C7A4BC4" w:rsidR="00982873" w:rsidRDefault="00982873" w:rsidP="00F7675A">
      <w:pPr>
        <w:snapToGrid w:val="0"/>
        <w:jc w:val="both"/>
        <w:rPr>
          <w:rFonts w:ascii="Cambria" w:hAnsi="Cambria"/>
        </w:rPr>
      </w:pPr>
    </w:p>
    <w:p w14:paraId="3AB968D5" w14:textId="392292CE" w:rsidR="00B459A5" w:rsidRDefault="00B459A5" w:rsidP="00F7675A">
      <w:pPr>
        <w:snapToGrid w:val="0"/>
        <w:jc w:val="both"/>
        <w:rPr>
          <w:rFonts w:ascii="Cambria" w:hAnsi="Cambria"/>
        </w:rPr>
      </w:pPr>
    </w:p>
    <w:p w14:paraId="7E66B483" w14:textId="4527F0F6" w:rsidR="00B459A5" w:rsidRDefault="00B459A5" w:rsidP="00F7675A">
      <w:pPr>
        <w:snapToGrid w:val="0"/>
        <w:jc w:val="both"/>
        <w:rPr>
          <w:rFonts w:ascii="Cambria" w:hAnsi="Cambria"/>
        </w:rPr>
      </w:pPr>
    </w:p>
    <w:p w14:paraId="0892941F" w14:textId="77777777" w:rsidR="00B459A5" w:rsidRPr="00CF5E94" w:rsidRDefault="00B459A5" w:rsidP="00B459A5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7A492AF8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40277C2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DB93D7E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5678F9D1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7A14A81B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05820434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67E8040C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4AF0334D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29C7BB2C" w14:textId="0341B56F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6E645B20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1B08DA28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3DA5EA00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210EE80E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53E923B2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320B4FDD" w14:textId="7777777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77038FD9" w14:textId="5C69B337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5E0D2AF5" w14:textId="41E3A68D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55793FEB" w14:textId="27960C44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426143C7" w14:textId="2871F02D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3617C1BE" w14:textId="4870763B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1D7497F7" w14:textId="1CF6B31A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3F41B427" w14:textId="56A90F7D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2EC407A7" w14:textId="316651F5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3D62F800" w14:textId="18D0E33B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20AA1000" w14:textId="482394DB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181269EE" w14:textId="77777777" w:rsidR="00745688" w:rsidRDefault="00745688" w:rsidP="00B459A5">
      <w:pPr>
        <w:pStyle w:val="Default"/>
        <w:jc w:val="both"/>
        <w:rPr>
          <w:rFonts w:asciiTheme="minorHAnsi" w:hAnsiTheme="minorHAnsi" w:cstheme="minorHAnsi"/>
        </w:rPr>
      </w:pPr>
    </w:p>
    <w:p w14:paraId="7DCDF8F2" w14:textId="64ABF8A8" w:rsidR="00B459A5" w:rsidRDefault="00B459A5" w:rsidP="00B459A5">
      <w:pPr>
        <w:pStyle w:val="Default"/>
        <w:jc w:val="both"/>
        <w:rPr>
          <w:rFonts w:asciiTheme="minorHAnsi" w:hAnsiTheme="minorHAnsi" w:cstheme="minorHAnsi"/>
        </w:rPr>
      </w:pPr>
    </w:p>
    <w:p w14:paraId="61D44928" w14:textId="1B81AFE9" w:rsidR="00B459A5" w:rsidRDefault="00B459A5" w:rsidP="005C5E03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  <w:sectPr w:rsidR="00B459A5" w:rsidSect="00BA7DAE">
          <w:pgSz w:w="11900" w:h="16840"/>
          <w:pgMar w:top="1338" w:right="1298" w:bottom="1179" w:left="1298" w:header="0" w:footer="987" w:gutter="0"/>
          <w:cols w:space="720"/>
          <w:docGrid w:linePitch="299"/>
        </w:sectPr>
      </w:pPr>
      <w:r w:rsidRPr="008F520D">
        <w:rPr>
          <w:rFonts w:asciiTheme="minorHAnsi" w:hAnsiTheme="minorHAnsi" w:cstheme="minorHAnsi"/>
        </w:rPr>
        <w:t xml:space="preserve">Satın alınacak CNG miktarı toplam </w:t>
      </w:r>
      <w:r w:rsidR="00755E7D" w:rsidRPr="00993B3B">
        <w:rPr>
          <w:rFonts w:ascii="Times New Roman" w:eastAsia="Times New Roman" w:hAnsi="Times New Roman" w:cs="Times New Roman"/>
          <w:b/>
          <w:lang w:eastAsia="tr-TR"/>
        </w:rPr>
        <w:t>2.715.748</w:t>
      </w:r>
      <w:r w:rsidR="00755E7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8F520D">
        <w:rPr>
          <w:rFonts w:asciiTheme="minorHAnsi" w:hAnsiTheme="minorHAnsi" w:cstheme="minorHAnsi"/>
          <w:b/>
        </w:rPr>
        <w:t>Sm3</w:t>
      </w:r>
      <w:r w:rsidR="00745688">
        <w:rPr>
          <w:rFonts w:asciiTheme="minorHAnsi" w:hAnsiTheme="minorHAnsi" w:cstheme="minorHAnsi"/>
        </w:rPr>
        <w:t xml:space="preserve"> olacaktır</w:t>
      </w:r>
    </w:p>
    <w:p w14:paraId="2853F272" w14:textId="77777777" w:rsidR="00B459A5" w:rsidRPr="00BB0ADA" w:rsidRDefault="00B459A5" w:rsidP="00C916BE">
      <w:pPr>
        <w:snapToGrid w:val="0"/>
        <w:jc w:val="both"/>
        <w:rPr>
          <w:rFonts w:ascii="Cambria" w:hAnsi="Cambria"/>
        </w:rPr>
      </w:pPr>
    </w:p>
    <w:sectPr w:rsidR="00B459A5" w:rsidRPr="00B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61301"/>
    <w:rsid w:val="000679F5"/>
    <w:rsid w:val="00071923"/>
    <w:rsid w:val="000C5744"/>
    <w:rsid w:val="000E2159"/>
    <w:rsid w:val="00101D32"/>
    <w:rsid w:val="00147AC6"/>
    <w:rsid w:val="001C4F7A"/>
    <w:rsid w:val="001D6A23"/>
    <w:rsid w:val="001F552F"/>
    <w:rsid w:val="00205FF1"/>
    <w:rsid w:val="0021342A"/>
    <w:rsid w:val="002743BF"/>
    <w:rsid w:val="00295189"/>
    <w:rsid w:val="002B7FA2"/>
    <w:rsid w:val="0031224E"/>
    <w:rsid w:val="00313E3F"/>
    <w:rsid w:val="0034586E"/>
    <w:rsid w:val="00380480"/>
    <w:rsid w:val="003844CA"/>
    <w:rsid w:val="003A4AD4"/>
    <w:rsid w:val="003C0CAB"/>
    <w:rsid w:val="003C1029"/>
    <w:rsid w:val="00467B39"/>
    <w:rsid w:val="004733EB"/>
    <w:rsid w:val="004A7CAD"/>
    <w:rsid w:val="004F5DEF"/>
    <w:rsid w:val="00546F54"/>
    <w:rsid w:val="005849BD"/>
    <w:rsid w:val="005C5981"/>
    <w:rsid w:val="005C5E03"/>
    <w:rsid w:val="005C7DC5"/>
    <w:rsid w:val="005D1549"/>
    <w:rsid w:val="00610784"/>
    <w:rsid w:val="00621F81"/>
    <w:rsid w:val="0063683C"/>
    <w:rsid w:val="00641F27"/>
    <w:rsid w:val="00645022"/>
    <w:rsid w:val="00670A1E"/>
    <w:rsid w:val="006957CC"/>
    <w:rsid w:val="006A4F6F"/>
    <w:rsid w:val="006F16AB"/>
    <w:rsid w:val="0072009C"/>
    <w:rsid w:val="007270B6"/>
    <w:rsid w:val="007411AD"/>
    <w:rsid w:val="00745688"/>
    <w:rsid w:val="007535CD"/>
    <w:rsid w:val="00755E7D"/>
    <w:rsid w:val="00765079"/>
    <w:rsid w:val="00794176"/>
    <w:rsid w:val="0079670E"/>
    <w:rsid w:val="007B4323"/>
    <w:rsid w:val="007B7E15"/>
    <w:rsid w:val="007E0D4B"/>
    <w:rsid w:val="00852E0B"/>
    <w:rsid w:val="00866CA5"/>
    <w:rsid w:val="008C490A"/>
    <w:rsid w:val="008F1581"/>
    <w:rsid w:val="00923169"/>
    <w:rsid w:val="0092585F"/>
    <w:rsid w:val="009342C0"/>
    <w:rsid w:val="0093672B"/>
    <w:rsid w:val="00950B84"/>
    <w:rsid w:val="00951C67"/>
    <w:rsid w:val="00982873"/>
    <w:rsid w:val="009E436D"/>
    <w:rsid w:val="009E770D"/>
    <w:rsid w:val="00A2149D"/>
    <w:rsid w:val="00A40A56"/>
    <w:rsid w:val="00A5521C"/>
    <w:rsid w:val="00A72429"/>
    <w:rsid w:val="00A9199F"/>
    <w:rsid w:val="00AA02EA"/>
    <w:rsid w:val="00AC1148"/>
    <w:rsid w:val="00AC7C71"/>
    <w:rsid w:val="00AE60F4"/>
    <w:rsid w:val="00B04E68"/>
    <w:rsid w:val="00B23F59"/>
    <w:rsid w:val="00B43AF3"/>
    <w:rsid w:val="00B459A5"/>
    <w:rsid w:val="00B559AE"/>
    <w:rsid w:val="00B80A4A"/>
    <w:rsid w:val="00B8612F"/>
    <w:rsid w:val="00B92A23"/>
    <w:rsid w:val="00BB0ADA"/>
    <w:rsid w:val="00BD342A"/>
    <w:rsid w:val="00BD4913"/>
    <w:rsid w:val="00BE484E"/>
    <w:rsid w:val="00BF6719"/>
    <w:rsid w:val="00C04249"/>
    <w:rsid w:val="00C10C35"/>
    <w:rsid w:val="00C475D7"/>
    <w:rsid w:val="00C708F9"/>
    <w:rsid w:val="00C7319A"/>
    <w:rsid w:val="00C841EC"/>
    <w:rsid w:val="00C916BE"/>
    <w:rsid w:val="00CA5E3C"/>
    <w:rsid w:val="00CC6DCB"/>
    <w:rsid w:val="00CD3D53"/>
    <w:rsid w:val="00CE60C4"/>
    <w:rsid w:val="00D47ED0"/>
    <w:rsid w:val="00D62A59"/>
    <w:rsid w:val="00D8297A"/>
    <w:rsid w:val="00D85E68"/>
    <w:rsid w:val="00DE0341"/>
    <w:rsid w:val="00E075CE"/>
    <w:rsid w:val="00E207AF"/>
    <w:rsid w:val="00E55953"/>
    <w:rsid w:val="00EB4E55"/>
    <w:rsid w:val="00EE0C1D"/>
    <w:rsid w:val="00F60C93"/>
    <w:rsid w:val="00F7675A"/>
    <w:rsid w:val="00FB2371"/>
    <w:rsid w:val="00F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  <w:style w:type="paragraph" w:customStyle="1" w:styleId="Default">
    <w:name w:val="Default"/>
    <w:rsid w:val="00BE48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459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ya.com.t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nerya.com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erya.antalya@hs02.kep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ery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665D-749F-43D3-8D06-E76F41C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Erol Kaya</cp:lastModifiedBy>
  <cp:revision>8</cp:revision>
  <cp:lastPrinted>2019-12-10T11:21:00Z</cp:lastPrinted>
  <dcterms:created xsi:type="dcterms:W3CDTF">2025-07-18T12:24:00Z</dcterms:created>
  <dcterms:modified xsi:type="dcterms:W3CDTF">2025-10-23T10:14:00Z</dcterms:modified>
</cp:coreProperties>
</file>